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EE08" w14:textId="3E53F78D" w:rsidR="00000251" w:rsidRPr="00000251" w:rsidRDefault="00641201"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Enterprise Risk Business Partner</w:t>
      </w:r>
    </w:p>
    <w:p w14:paraId="67989BC5" w14:textId="19107B09" w:rsidR="00000251" w:rsidRPr="00000251" w:rsidRDefault="00F93FA2"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March</w:t>
      </w:r>
      <w:r w:rsidR="00936C55">
        <w:rPr>
          <w:rFonts w:ascii="AKL Sans" w:hAnsi="AKL Sans" w:cs="Arial"/>
          <w:b w:val="0"/>
          <w:bCs w:val="0"/>
          <w:color w:val="005587" w:themeColor="accent1"/>
          <w:sz w:val="16"/>
          <w:szCs w:val="16"/>
        </w:rPr>
        <w:t xml:space="preserve"> 202</w:t>
      </w:r>
      <w:r w:rsidR="003B0FDF">
        <w:rPr>
          <w:rFonts w:ascii="AKL Sans" w:hAnsi="AKL Sans" w:cs="Arial"/>
          <w:b w:val="0"/>
          <w:bCs w:val="0"/>
          <w:color w:val="005587" w:themeColor="accent1"/>
          <w:sz w:val="16"/>
          <w:szCs w:val="1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37"/>
        <w:gridCol w:w="121"/>
        <w:gridCol w:w="1616"/>
        <w:gridCol w:w="130"/>
        <w:gridCol w:w="4720"/>
      </w:tblGrid>
      <w:tr w:rsidR="00000251" w:rsidRPr="00000251" w14:paraId="6C7C3F30" w14:textId="77777777" w:rsidTr="151806E9">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151806E9">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6466" w:type="dxa"/>
            <w:gridSpan w:val="3"/>
            <w:tcBorders>
              <w:top w:val="single" w:sz="4" w:space="0" w:color="auto"/>
              <w:left w:val="single" w:sz="4" w:space="0" w:color="auto"/>
              <w:bottom w:val="single" w:sz="4" w:space="0" w:color="auto"/>
              <w:right w:val="single" w:sz="4" w:space="0" w:color="auto"/>
            </w:tcBorders>
          </w:tcPr>
          <w:p w14:paraId="58F73327" w14:textId="5B068BB7" w:rsidR="00000251" w:rsidRPr="00936C55" w:rsidRDefault="1F8AB723" w:rsidP="0063249B">
            <w:pPr>
              <w:spacing w:before="120" w:after="80"/>
              <w:rPr>
                <w:rFonts w:ascii="AKL Sans" w:hAnsi="AKL Sans" w:cs="Arial"/>
                <w:lang w:val="en-NZ"/>
              </w:rPr>
            </w:pPr>
            <w:r w:rsidRPr="151806E9">
              <w:rPr>
                <w:rFonts w:ascii="AKL Sans" w:hAnsi="AKL Sans" w:cs="Arial"/>
                <w:lang w:val="en-NZ"/>
              </w:rPr>
              <w:t xml:space="preserve">Enterprise Risk Manager </w:t>
            </w:r>
          </w:p>
        </w:tc>
      </w:tr>
      <w:tr w:rsidR="00000251" w:rsidRPr="00000251" w14:paraId="76DDCB83" w14:textId="77777777" w:rsidTr="151806E9">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20F03D28" w14:textId="151B0982"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6466" w:type="dxa"/>
            <w:gridSpan w:val="3"/>
            <w:tcBorders>
              <w:top w:val="single" w:sz="4" w:space="0" w:color="auto"/>
              <w:left w:val="single" w:sz="4" w:space="0" w:color="auto"/>
              <w:bottom w:val="single" w:sz="4" w:space="0" w:color="auto"/>
              <w:right w:val="single" w:sz="4" w:space="0" w:color="auto"/>
            </w:tcBorders>
          </w:tcPr>
          <w:p w14:paraId="3B66EEA4" w14:textId="7B9C5355" w:rsidR="00000251" w:rsidRPr="00936C55" w:rsidRDefault="00955D26" w:rsidP="0063249B">
            <w:pPr>
              <w:spacing w:before="120" w:after="80"/>
              <w:rPr>
                <w:rFonts w:ascii="AKL Sans" w:hAnsi="AKL Sans" w:cs="Arial"/>
                <w:lang w:val="en-NZ"/>
              </w:rPr>
            </w:pPr>
            <w:r>
              <w:rPr>
                <w:rFonts w:ascii="AKL Sans" w:hAnsi="AKL Sans" w:cs="Arial"/>
                <w:lang w:val="en-NZ"/>
              </w:rPr>
              <w:t>Risk, Compliance and Assurance | Risk</w:t>
            </w:r>
            <w:r w:rsidR="003B0FDF">
              <w:rPr>
                <w:rFonts w:ascii="AKL Sans" w:hAnsi="AKL Sans" w:cs="Arial"/>
                <w:lang w:val="en-NZ"/>
              </w:rPr>
              <w:t xml:space="preserve"> and Corporate Services</w:t>
            </w:r>
          </w:p>
        </w:tc>
      </w:tr>
      <w:tr w:rsidR="00000251" w:rsidRPr="00000251" w14:paraId="550927D7" w14:textId="77777777" w:rsidTr="151806E9">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bCs/>
                <w:sz w:val="28"/>
              </w:rPr>
            </w:pPr>
            <w:r w:rsidRPr="006F638C">
              <w:rPr>
                <w:rFonts w:ascii="AKL Sans" w:hAnsi="AKL Sans" w:cs="Arial"/>
                <w:b/>
                <w:bCs/>
                <w:color w:val="auto"/>
                <w:sz w:val="24"/>
                <w:szCs w:val="24"/>
              </w:rPr>
              <w:t>Purpose</w:t>
            </w:r>
          </w:p>
        </w:tc>
      </w:tr>
      <w:tr w:rsidR="00000251" w:rsidRPr="00000251" w14:paraId="3C82C931" w14:textId="77777777" w:rsidTr="151806E9">
        <w:trPr>
          <w:trHeight w:val="2804"/>
        </w:trPr>
        <w:tc>
          <w:tcPr>
            <w:tcW w:w="9346" w:type="dxa"/>
            <w:gridSpan w:val="6"/>
            <w:tcBorders>
              <w:bottom w:val="single" w:sz="4" w:space="0" w:color="auto"/>
            </w:tcBorders>
          </w:tcPr>
          <w:p w14:paraId="28D214E1" w14:textId="3F336446" w:rsidR="001C1597" w:rsidRDefault="008B725A" w:rsidP="008B725A">
            <w:pPr>
              <w:spacing w:before="120" w:after="80"/>
              <w:rPr>
                <w:rFonts w:ascii="AKL Sans" w:hAnsi="AKL Sans" w:cs="Arial"/>
                <w:lang w:val="en-NZ"/>
              </w:rPr>
            </w:pPr>
            <w:r w:rsidRPr="008B725A">
              <w:rPr>
                <w:rFonts w:ascii="AKL Sans" w:hAnsi="AKL Sans" w:cs="Arial"/>
                <w:lang w:val="en-NZ"/>
              </w:rPr>
              <w:t xml:space="preserve">The purpose of the Enterprise Risk Business Partner role is to </w:t>
            </w:r>
            <w:r w:rsidR="007E2BBC" w:rsidRPr="007E2BBC">
              <w:rPr>
                <w:rFonts w:ascii="AKL Sans" w:hAnsi="AKL Sans" w:cs="Arial"/>
                <w:lang w:val="en-NZ"/>
              </w:rPr>
              <w:t>provide</w:t>
            </w:r>
            <w:r w:rsidR="007E2BBC">
              <w:rPr>
                <w:rFonts w:ascii="AKL Sans" w:hAnsi="AKL Sans" w:cs="Arial"/>
                <w:lang w:val="en-NZ"/>
              </w:rPr>
              <w:t xml:space="preserve"> </w:t>
            </w:r>
            <w:r w:rsidR="001D557B" w:rsidRPr="007E2BBC">
              <w:rPr>
                <w:rFonts w:ascii="AKL Sans" w:hAnsi="AKL Sans" w:cs="Arial"/>
                <w:lang w:val="en-NZ"/>
              </w:rPr>
              <w:t>t</w:t>
            </w:r>
            <w:r w:rsidR="001D557B">
              <w:rPr>
                <w:rFonts w:ascii="AKL Sans" w:hAnsi="AKL Sans" w:cs="Arial"/>
                <w:lang w:val="en-NZ"/>
              </w:rPr>
              <w:t>echnical expertise a</w:t>
            </w:r>
            <w:r w:rsidR="007E2BBC" w:rsidRPr="007E2BBC">
              <w:rPr>
                <w:rFonts w:ascii="AKL Sans" w:hAnsi="AKL Sans" w:cs="Arial"/>
                <w:lang w:val="en-NZ"/>
              </w:rPr>
              <w:t xml:space="preserve">nalysis, manage and report on the implementation and findings on </w:t>
            </w:r>
            <w:r w:rsidR="00565E80">
              <w:rPr>
                <w:rFonts w:ascii="AKL Sans" w:hAnsi="AKL Sans" w:cs="Arial"/>
                <w:lang w:val="en-NZ"/>
              </w:rPr>
              <w:t xml:space="preserve">enterprise </w:t>
            </w:r>
            <w:r w:rsidR="007E2BBC" w:rsidRPr="007E2BBC">
              <w:rPr>
                <w:rFonts w:ascii="AKL Sans" w:hAnsi="AKL Sans" w:cs="Arial"/>
                <w:lang w:val="en-NZ"/>
              </w:rPr>
              <w:t>risk management framework</w:t>
            </w:r>
            <w:r w:rsidR="00565E80">
              <w:rPr>
                <w:rFonts w:ascii="AKL Sans" w:hAnsi="AKL Sans" w:cs="Arial"/>
                <w:lang w:val="en-NZ"/>
              </w:rPr>
              <w:t xml:space="preserve">, </w:t>
            </w:r>
            <w:r w:rsidR="001D557B">
              <w:rPr>
                <w:rFonts w:ascii="AKL Sans" w:hAnsi="AKL Sans" w:cs="Arial"/>
                <w:lang w:val="en-NZ"/>
              </w:rPr>
              <w:t xml:space="preserve">system, </w:t>
            </w:r>
            <w:r w:rsidR="009D70BC">
              <w:rPr>
                <w:rFonts w:ascii="AKL Sans" w:hAnsi="AKL Sans" w:cs="Arial"/>
                <w:lang w:val="en-NZ"/>
              </w:rPr>
              <w:t xml:space="preserve">processes. </w:t>
            </w:r>
            <w:r w:rsidR="00D11719">
              <w:rPr>
                <w:rFonts w:ascii="AKL Sans" w:hAnsi="AKL Sans" w:cs="Arial"/>
                <w:lang w:val="en-NZ"/>
              </w:rPr>
              <w:t>polic</w:t>
            </w:r>
            <w:r w:rsidR="009D70BC">
              <w:rPr>
                <w:rFonts w:ascii="AKL Sans" w:hAnsi="AKL Sans" w:cs="Arial"/>
                <w:lang w:val="en-NZ"/>
              </w:rPr>
              <w:t>y</w:t>
            </w:r>
            <w:r w:rsidR="00D11719">
              <w:rPr>
                <w:rFonts w:ascii="AKL Sans" w:hAnsi="AKL Sans" w:cs="Arial"/>
                <w:lang w:val="en-NZ"/>
              </w:rPr>
              <w:t xml:space="preserve"> and procedures. </w:t>
            </w:r>
            <w:r w:rsidR="007E2BBC" w:rsidRPr="007E2BBC">
              <w:rPr>
                <w:rFonts w:ascii="AKL Sans" w:hAnsi="AKL Sans" w:cs="Arial"/>
                <w:lang w:val="en-NZ"/>
              </w:rPr>
              <w:t>The role entails extensive stakeholder management with a diverse range of leaders across the business, preparing dashboards and other presentations for senior management, and plays a pivotal role in the identification, assessment and mitigation of risk</w:t>
            </w:r>
            <w:r w:rsidR="00335DCB">
              <w:rPr>
                <w:rFonts w:ascii="AKL Sans" w:hAnsi="AKL Sans" w:cs="Arial"/>
                <w:lang w:val="en-NZ"/>
              </w:rPr>
              <w:t>s</w:t>
            </w:r>
            <w:r w:rsidR="0078339A">
              <w:rPr>
                <w:rFonts w:ascii="AKL Sans" w:hAnsi="AKL Sans" w:cs="Arial"/>
                <w:lang w:val="en-NZ"/>
              </w:rPr>
              <w:t xml:space="preserve"> and ensuring the ERM system support th</w:t>
            </w:r>
            <w:r w:rsidR="00E61948">
              <w:rPr>
                <w:rFonts w:ascii="AKL Sans" w:hAnsi="AKL Sans" w:cs="Arial"/>
                <w:lang w:val="en-NZ"/>
              </w:rPr>
              <w:t>e</w:t>
            </w:r>
            <w:r w:rsidR="0078339A">
              <w:rPr>
                <w:rFonts w:ascii="AKL Sans" w:hAnsi="AKL Sans" w:cs="Arial"/>
                <w:lang w:val="en-NZ"/>
              </w:rPr>
              <w:t xml:space="preserve"> </w:t>
            </w:r>
            <w:r w:rsidR="00E61948">
              <w:rPr>
                <w:rFonts w:ascii="AKL Sans" w:hAnsi="AKL Sans" w:cs="Arial"/>
                <w:lang w:val="en-NZ"/>
              </w:rPr>
              <w:t xml:space="preserve">ERM Program Risk Roll-up Approach. </w:t>
            </w:r>
          </w:p>
          <w:p w14:paraId="680A4FB1" w14:textId="6119E37F" w:rsidR="008B725A" w:rsidRPr="008B725A" w:rsidRDefault="00E61948" w:rsidP="008B725A">
            <w:pPr>
              <w:spacing w:before="120" w:after="80"/>
              <w:rPr>
                <w:rFonts w:ascii="AKL Sans" w:hAnsi="AKL Sans" w:cs="Arial"/>
                <w:lang w:val="en-NZ"/>
              </w:rPr>
            </w:pPr>
            <w:r>
              <w:rPr>
                <w:rFonts w:ascii="AKL Sans" w:hAnsi="AKL Sans" w:cs="Arial"/>
                <w:lang w:val="en-NZ"/>
              </w:rPr>
              <w:t>A</w:t>
            </w:r>
            <w:r w:rsidR="008B725A" w:rsidRPr="008B725A">
              <w:rPr>
                <w:rFonts w:ascii="AKL Sans" w:hAnsi="AKL Sans" w:cs="Arial"/>
                <w:lang w:val="en-NZ"/>
              </w:rPr>
              <w:t xml:space="preserve">s the risk </w:t>
            </w:r>
            <w:r w:rsidR="006F7B47">
              <w:rPr>
                <w:rFonts w:ascii="AKL Sans" w:hAnsi="AKL Sans" w:cs="Arial"/>
                <w:lang w:val="en-NZ"/>
              </w:rPr>
              <w:t xml:space="preserve">business partner, you will </w:t>
            </w:r>
            <w:r w:rsidR="008B725A" w:rsidRPr="008B725A">
              <w:rPr>
                <w:rFonts w:ascii="AKL Sans" w:hAnsi="AKL Sans" w:cs="Arial"/>
                <w:lang w:val="en-NZ"/>
              </w:rPr>
              <w:t xml:space="preserve">support functional business unit areas as the risk subject matter expert (SME). This will involve providing governance and advisor services to embed AKL’s Enterprise Risk Management strategy, policy, and framework across the organisation. As the risk </w:t>
            </w:r>
            <w:r w:rsidR="006F7B47">
              <w:rPr>
                <w:rFonts w:ascii="AKL Sans" w:hAnsi="AKL Sans" w:cs="Arial"/>
                <w:lang w:val="en-NZ"/>
              </w:rPr>
              <w:t xml:space="preserve">SME </w:t>
            </w:r>
            <w:r w:rsidR="008B725A" w:rsidRPr="008B725A">
              <w:rPr>
                <w:rFonts w:ascii="AKL Sans" w:hAnsi="AKL Sans" w:cs="Arial"/>
                <w:lang w:val="en-NZ"/>
              </w:rPr>
              <w:t>you will embed risk literacy, kete of knowledge, and increase capability across the functional business unit areas to promote and drive continuous improvement in AKL’s risk management culture and maturity.</w:t>
            </w:r>
          </w:p>
          <w:p w14:paraId="0BFE795E" w14:textId="495C9FFC" w:rsidR="00000251" w:rsidRPr="007E2BBC" w:rsidRDefault="008B725A" w:rsidP="008B725A">
            <w:pPr>
              <w:spacing w:before="120" w:after="80"/>
              <w:rPr>
                <w:rFonts w:ascii="AKL Sans" w:hAnsi="AKL Sans" w:cs="Arial"/>
                <w:lang w:val="en-NZ"/>
              </w:rPr>
            </w:pPr>
            <w:r w:rsidRPr="008B725A">
              <w:rPr>
                <w:rFonts w:ascii="AKL Sans" w:hAnsi="AKL Sans" w:cs="Arial"/>
                <w:lang w:val="en-NZ"/>
              </w:rPr>
              <w:t>This will entail that you support your functional business unit area’s chief, line managers</w:t>
            </w:r>
            <w:r w:rsidR="0034158C">
              <w:rPr>
                <w:rFonts w:ascii="AKL Sans" w:hAnsi="AKL Sans" w:cs="Arial"/>
                <w:lang w:val="en-NZ"/>
              </w:rPr>
              <w:t>, risk advocates</w:t>
            </w:r>
            <w:r w:rsidRPr="008B725A">
              <w:rPr>
                <w:rFonts w:ascii="AKL Sans" w:hAnsi="AKL Sans" w:cs="Arial"/>
                <w:lang w:val="en-NZ"/>
              </w:rPr>
              <w:t xml:space="preserve"> and </w:t>
            </w:r>
            <w:r w:rsidR="004E07B9">
              <w:rPr>
                <w:rFonts w:ascii="AKL Sans" w:hAnsi="AKL Sans" w:cs="Arial"/>
                <w:lang w:val="en-NZ"/>
              </w:rPr>
              <w:t xml:space="preserve">any other relevant </w:t>
            </w:r>
            <w:r w:rsidRPr="008B725A">
              <w:rPr>
                <w:rFonts w:ascii="AKL Sans" w:hAnsi="AKL Sans" w:cs="Arial"/>
                <w:lang w:val="en-NZ"/>
              </w:rPr>
              <w:t xml:space="preserve">staff </w:t>
            </w:r>
            <w:r w:rsidR="004E07B9">
              <w:rPr>
                <w:rFonts w:ascii="AKL Sans" w:hAnsi="AKL Sans" w:cs="Arial"/>
                <w:lang w:val="en-NZ"/>
              </w:rPr>
              <w:t xml:space="preserve">member </w:t>
            </w:r>
            <w:r w:rsidRPr="008B725A">
              <w:rPr>
                <w:rFonts w:ascii="AKL Sans" w:hAnsi="AKL Sans" w:cs="Arial"/>
                <w:lang w:val="en-NZ"/>
              </w:rPr>
              <w:t>to own their risk management initiatives and align them to the Enterprise Risk Management Framework, policies, processes, and system.</w:t>
            </w:r>
          </w:p>
        </w:tc>
      </w:tr>
      <w:tr w:rsidR="00000251" w:rsidRPr="00000251" w14:paraId="7560AB14" w14:textId="77777777" w:rsidTr="151806E9">
        <w:tc>
          <w:tcPr>
            <w:tcW w:w="9346" w:type="dxa"/>
            <w:gridSpan w:val="6"/>
            <w:tcBorders>
              <w:bottom w:val="single" w:sz="4" w:space="0" w:color="auto"/>
            </w:tcBorders>
            <w:shd w:val="clear" w:color="auto" w:fill="1EABFF" w:themeFill="accent1" w:themeFillTint="99"/>
          </w:tcPr>
          <w:p w14:paraId="006D1F91" w14:textId="77777777" w:rsidR="00000251" w:rsidRPr="00000251" w:rsidRDefault="00000251" w:rsidP="0063249B">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00000251" w:rsidRPr="00000251" w14:paraId="05A176F4" w14:textId="77777777" w:rsidTr="151806E9">
        <w:tc>
          <w:tcPr>
            <w:tcW w:w="2122" w:type="dxa"/>
            <w:tcBorders>
              <w:bottom w:val="single" w:sz="4" w:space="0" w:color="auto"/>
            </w:tcBorders>
          </w:tcPr>
          <w:p w14:paraId="18902152" w14:textId="73836D99" w:rsidR="00000251" w:rsidRPr="00A5531A" w:rsidRDefault="00A5531A" w:rsidP="00A5531A">
            <w:pPr>
              <w:spacing w:before="120" w:after="80"/>
              <w:rPr>
                <w:rFonts w:ascii="AKL Sans" w:hAnsi="AKL Sans" w:cs="Arial"/>
                <w:b/>
                <w:bCs/>
                <w:szCs w:val="22"/>
              </w:rPr>
            </w:pPr>
            <w:r w:rsidRPr="00A5531A">
              <w:rPr>
                <w:rFonts w:ascii="AKL Sans" w:hAnsi="AKL Sans" w:cs="Arial"/>
                <w:b/>
                <w:bCs/>
                <w:lang w:val="en-NZ"/>
              </w:rPr>
              <w:t>Business Partnering and enablement of Enterprise Risk Management strategy</w:t>
            </w:r>
          </w:p>
        </w:tc>
        <w:tc>
          <w:tcPr>
            <w:tcW w:w="7224" w:type="dxa"/>
            <w:gridSpan w:val="5"/>
            <w:tcBorders>
              <w:bottom w:val="single" w:sz="4" w:space="0" w:color="auto"/>
            </w:tcBorders>
          </w:tcPr>
          <w:p w14:paraId="194ACB34" w14:textId="77777777" w:rsidR="00621390" w:rsidRPr="00621390" w:rsidRDefault="00621390" w:rsidP="00F47AC7">
            <w:pPr>
              <w:pStyle w:val="ListParagraph"/>
              <w:numPr>
                <w:ilvl w:val="0"/>
                <w:numId w:val="12"/>
              </w:numPr>
              <w:rPr>
                <w:rFonts w:ascii="AKL Sans" w:hAnsi="AKL Sans" w:cs="Arial"/>
                <w:lang w:val="en-NZ"/>
              </w:rPr>
            </w:pPr>
            <w:r w:rsidRPr="00621390">
              <w:rPr>
                <w:rFonts w:ascii="AKL Sans" w:hAnsi="AKL Sans" w:cs="Arial"/>
                <w:lang w:val="en-NZ"/>
              </w:rPr>
              <w:t>Effective business partnering on all things risk management, ensuring key activities are aligned to meet AKL’s strategic objectives and business performance.</w:t>
            </w:r>
          </w:p>
          <w:p w14:paraId="65623DF7" w14:textId="77777777" w:rsidR="00621390" w:rsidRPr="00621390" w:rsidRDefault="00621390" w:rsidP="00F47AC7">
            <w:pPr>
              <w:pStyle w:val="ListParagraph"/>
              <w:numPr>
                <w:ilvl w:val="0"/>
                <w:numId w:val="12"/>
              </w:numPr>
              <w:rPr>
                <w:rFonts w:ascii="AKL Sans" w:hAnsi="AKL Sans" w:cs="Arial"/>
                <w:lang w:val="en-NZ"/>
              </w:rPr>
            </w:pPr>
            <w:r w:rsidRPr="00621390">
              <w:rPr>
                <w:rFonts w:ascii="AKL Sans" w:hAnsi="AKL Sans" w:cs="Arial"/>
                <w:lang w:val="en-NZ"/>
              </w:rPr>
              <w:t>Business partnership through risk assessments, risk education and maturing the risk culture of the organisation.</w:t>
            </w:r>
          </w:p>
          <w:p w14:paraId="2EDD94C8" w14:textId="04F00FCA" w:rsidR="00000251" w:rsidRPr="00621390" w:rsidRDefault="00621390" w:rsidP="00F47AC7">
            <w:pPr>
              <w:pStyle w:val="ListParagraph"/>
              <w:numPr>
                <w:ilvl w:val="0"/>
                <w:numId w:val="12"/>
              </w:numPr>
              <w:rPr>
                <w:rFonts w:ascii="AKL Sans" w:hAnsi="AKL Sans" w:cs="Arial"/>
                <w:lang w:val="en-NZ"/>
              </w:rPr>
            </w:pPr>
            <w:r w:rsidRPr="00621390">
              <w:rPr>
                <w:rFonts w:ascii="AKL Sans" w:hAnsi="AKL Sans" w:cs="Arial"/>
                <w:lang w:val="en-NZ"/>
              </w:rPr>
              <w:t>Trusted and valued by key stakeholders as an absolute subject matter expert.</w:t>
            </w:r>
          </w:p>
        </w:tc>
      </w:tr>
      <w:tr w:rsidR="00000251" w:rsidRPr="00000251" w14:paraId="37A264D7" w14:textId="77777777" w:rsidTr="151806E9">
        <w:tc>
          <w:tcPr>
            <w:tcW w:w="2122" w:type="dxa"/>
            <w:tcBorders>
              <w:bottom w:val="single" w:sz="4" w:space="0" w:color="auto"/>
            </w:tcBorders>
          </w:tcPr>
          <w:p w14:paraId="77C4559E" w14:textId="3EEE18C9" w:rsidR="00000251" w:rsidRPr="00000251" w:rsidRDefault="00BD2FB1" w:rsidP="00BD2FB1">
            <w:pPr>
              <w:spacing w:before="120" w:after="80"/>
              <w:rPr>
                <w:rFonts w:ascii="AKL Sans" w:hAnsi="AKL Sans" w:cs="Arial"/>
                <w:szCs w:val="22"/>
              </w:rPr>
            </w:pPr>
            <w:r w:rsidRPr="00BD2FB1">
              <w:rPr>
                <w:rFonts w:ascii="AKL Sans" w:hAnsi="AKL Sans" w:cs="Arial"/>
                <w:b/>
                <w:bCs/>
                <w:lang w:val="en-NZ"/>
              </w:rPr>
              <w:t xml:space="preserve">Governance </w:t>
            </w:r>
          </w:p>
        </w:tc>
        <w:tc>
          <w:tcPr>
            <w:tcW w:w="7224" w:type="dxa"/>
            <w:gridSpan w:val="5"/>
            <w:tcBorders>
              <w:bottom w:val="single" w:sz="4" w:space="0" w:color="auto"/>
            </w:tcBorders>
          </w:tcPr>
          <w:p w14:paraId="037A4D8C"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 xml:space="preserve">Support with the end-to-end management committee and board sub-committee governance reporting process (detailed under the reporting section below). </w:t>
            </w:r>
          </w:p>
          <w:p w14:paraId="05FDA10C"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Administer the Enterprise Risk Management (ERM) system (Quantate).</w:t>
            </w:r>
          </w:p>
          <w:p w14:paraId="6E17EAC6"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Maintain and update all records and risk registers in risk management system (RMS), such as risks, controls, incidents, issues, and treatment actions - record keeping and enhance risk data analytics.</w:t>
            </w:r>
          </w:p>
          <w:p w14:paraId="2696AE95"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Update or revise the functional business unit area risk registers or risk control self-assessment (RCSA) to improve enterprise risk reporting capability.</w:t>
            </w:r>
          </w:p>
          <w:p w14:paraId="7DB45F52"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lastRenderedPageBreak/>
              <w:t>Operate as subject matter expert for the end-to-end incident and issue management process.</w:t>
            </w:r>
          </w:p>
          <w:p w14:paraId="0BB9BACA"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Lead risk management communications and staff engagement initiatives.</w:t>
            </w:r>
          </w:p>
          <w:p w14:paraId="6F3F7D5E"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Provide risk data analysis services aligned with the ERMF.</w:t>
            </w:r>
          </w:p>
          <w:p w14:paraId="71B982DF"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Monitor the dedicated enterprise risk management inbox and coordinate responses and actions as required to manage the RMS.</w:t>
            </w:r>
          </w:p>
          <w:p w14:paraId="74DE8B70" w14:textId="77777777" w:rsidR="005909BA"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 xml:space="preserve">Assist with the Management Assurance Attestation Process (MAAP) </w:t>
            </w:r>
          </w:p>
          <w:p w14:paraId="4DAB171C" w14:textId="206F649D" w:rsidR="00000251" w:rsidRPr="005909BA" w:rsidRDefault="005909BA" w:rsidP="00F47AC7">
            <w:pPr>
              <w:pStyle w:val="ListParagraph"/>
              <w:numPr>
                <w:ilvl w:val="0"/>
                <w:numId w:val="12"/>
              </w:numPr>
              <w:rPr>
                <w:rFonts w:ascii="AKL Sans" w:hAnsi="AKL Sans" w:cs="Arial"/>
                <w:lang w:val="en-NZ"/>
              </w:rPr>
            </w:pPr>
            <w:r w:rsidRPr="005909BA">
              <w:rPr>
                <w:rFonts w:ascii="AKL Sans" w:hAnsi="AKL Sans" w:cs="Arial"/>
                <w:lang w:val="en-NZ"/>
              </w:rPr>
              <w:t>Support to ensure a BCM Programme exists to enhance and mature Business Continuity Management E.g. Facilitate Scenario Assessments, ensure BCPs exist for critical business functions and for material external risk scenarios.</w:t>
            </w:r>
          </w:p>
        </w:tc>
      </w:tr>
      <w:tr w:rsidR="00AF007A" w:rsidRPr="00000251" w14:paraId="3688ED74" w14:textId="77777777" w:rsidTr="151806E9">
        <w:tc>
          <w:tcPr>
            <w:tcW w:w="2122" w:type="dxa"/>
            <w:tcBorders>
              <w:bottom w:val="single" w:sz="4" w:space="0" w:color="auto"/>
            </w:tcBorders>
          </w:tcPr>
          <w:p w14:paraId="6A27F66E" w14:textId="3E0A3BA8" w:rsidR="00AF007A" w:rsidRPr="00BD2FB1" w:rsidRDefault="00AF007A" w:rsidP="00BD2FB1">
            <w:pPr>
              <w:spacing w:before="120" w:after="80"/>
              <w:rPr>
                <w:rFonts w:ascii="AKL Sans" w:hAnsi="AKL Sans" w:cs="Arial"/>
                <w:b/>
                <w:bCs/>
                <w:lang w:val="en-NZ"/>
              </w:rPr>
            </w:pPr>
            <w:r w:rsidRPr="00AF007A">
              <w:rPr>
                <w:rFonts w:ascii="AKL Sans" w:hAnsi="AKL Sans" w:cs="Arial"/>
                <w:b/>
                <w:bCs/>
                <w:lang w:val="en-NZ"/>
              </w:rPr>
              <w:lastRenderedPageBreak/>
              <w:t>Advisory</w:t>
            </w:r>
          </w:p>
        </w:tc>
        <w:tc>
          <w:tcPr>
            <w:tcW w:w="7224" w:type="dxa"/>
            <w:gridSpan w:val="5"/>
            <w:tcBorders>
              <w:bottom w:val="single" w:sz="4" w:space="0" w:color="auto"/>
            </w:tcBorders>
          </w:tcPr>
          <w:p w14:paraId="5B087E09"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Provide guidance to the business on ERMF, policies and procedures.</w:t>
            </w:r>
          </w:p>
          <w:p w14:paraId="6FD7F822"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Ensure incidents, issues and actions are effectively managed, reported and resolved with the implementation of enhanced internal controls.</w:t>
            </w:r>
          </w:p>
          <w:p w14:paraId="4B571A86"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Promote enterprise risk management via positive relationships with staff and senior leaders.</w:t>
            </w:r>
          </w:p>
          <w:p w14:paraId="67A16F5A"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 xml:space="preserve">Coordinate meetings and support running of the risk management induction or overviews including the risk advocate group sessions as required. </w:t>
            </w:r>
          </w:p>
          <w:p w14:paraId="3739C662"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Assist with delivering initiatives to mature AKL’s risk culture – this may include undertaking risk culture assessments.</w:t>
            </w:r>
          </w:p>
          <w:p w14:paraId="3E7C6CA7" w14:textId="77777777" w:rsidR="00EC2E3F" w:rsidRPr="00EC2E3F"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 xml:space="preserve">Support with staff training and coaching. </w:t>
            </w:r>
          </w:p>
          <w:p w14:paraId="1A25C87C" w14:textId="46610E58" w:rsidR="00AF007A" w:rsidRPr="005909BA" w:rsidRDefault="00EC2E3F" w:rsidP="00197501">
            <w:pPr>
              <w:pStyle w:val="ListParagraph"/>
              <w:numPr>
                <w:ilvl w:val="0"/>
                <w:numId w:val="12"/>
              </w:numPr>
              <w:ind w:left="714" w:hanging="357"/>
              <w:rPr>
                <w:rFonts w:ascii="AKL Sans" w:hAnsi="AKL Sans" w:cs="Arial"/>
                <w:lang w:val="en-NZ"/>
              </w:rPr>
            </w:pPr>
            <w:r w:rsidRPr="00EC2E3F">
              <w:rPr>
                <w:rFonts w:ascii="AKL Sans" w:hAnsi="AKL Sans" w:cs="Arial"/>
                <w:lang w:val="en-NZ"/>
              </w:rPr>
              <w:t>Lead fraud management awareness and training.</w:t>
            </w:r>
          </w:p>
        </w:tc>
      </w:tr>
      <w:tr w:rsidR="00EC2E3F" w:rsidRPr="00000251" w14:paraId="261EDEE1" w14:textId="77777777" w:rsidTr="151806E9">
        <w:tc>
          <w:tcPr>
            <w:tcW w:w="2122" w:type="dxa"/>
            <w:tcBorders>
              <w:bottom w:val="single" w:sz="4" w:space="0" w:color="auto"/>
            </w:tcBorders>
          </w:tcPr>
          <w:p w14:paraId="1B467CAC" w14:textId="4EAC5D70" w:rsidR="00EC2E3F" w:rsidRPr="00AF007A" w:rsidRDefault="00642273" w:rsidP="00BD2FB1">
            <w:pPr>
              <w:spacing w:before="120" w:after="80"/>
              <w:rPr>
                <w:rFonts w:ascii="AKL Sans" w:hAnsi="AKL Sans" w:cs="Arial"/>
                <w:b/>
                <w:bCs/>
                <w:lang w:val="en-NZ"/>
              </w:rPr>
            </w:pPr>
            <w:r w:rsidRPr="00642273">
              <w:rPr>
                <w:rFonts w:ascii="AKL Sans" w:hAnsi="AKL Sans" w:cs="Arial"/>
                <w:b/>
                <w:bCs/>
                <w:lang w:val="en-NZ"/>
              </w:rPr>
              <w:t>Risk Registers / RCSA</w:t>
            </w:r>
          </w:p>
        </w:tc>
        <w:tc>
          <w:tcPr>
            <w:tcW w:w="7224" w:type="dxa"/>
            <w:gridSpan w:val="5"/>
            <w:tcBorders>
              <w:bottom w:val="single" w:sz="4" w:space="0" w:color="auto"/>
            </w:tcBorders>
          </w:tcPr>
          <w:p w14:paraId="73365158" w14:textId="77777777" w:rsidR="00D711E3" w:rsidRPr="00D711E3" w:rsidRDefault="00D711E3" w:rsidP="00197501">
            <w:pPr>
              <w:pStyle w:val="ListParagraph"/>
              <w:numPr>
                <w:ilvl w:val="0"/>
                <w:numId w:val="12"/>
              </w:numPr>
              <w:ind w:left="714" w:hanging="357"/>
              <w:rPr>
                <w:rFonts w:ascii="AKL Sans" w:hAnsi="AKL Sans" w:cs="Arial"/>
                <w:lang w:val="en-NZ"/>
              </w:rPr>
            </w:pPr>
            <w:r w:rsidRPr="00D711E3">
              <w:rPr>
                <w:rFonts w:ascii="AKL Sans" w:hAnsi="AKL Sans" w:cs="Arial"/>
                <w:lang w:val="en-NZ"/>
              </w:rPr>
              <w:t>Coordinate and facilitate the risk &amp; control self-assessment (RCSA) process to ensure risk and control registers for each business unit are updated and maintained.</w:t>
            </w:r>
          </w:p>
          <w:p w14:paraId="05DB9ADA" w14:textId="77777777" w:rsidR="00D711E3" w:rsidRPr="00D711E3" w:rsidRDefault="00D711E3" w:rsidP="00197501">
            <w:pPr>
              <w:pStyle w:val="ListParagraph"/>
              <w:numPr>
                <w:ilvl w:val="0"/>
                <w:numId w:val="12"/>
              </w:numPr>
              <w:ind w:left="714" w:hanging="357"/>
              <w:rPr>
                <w:rFonts w:ascii="AKL Sans" w:hAnsi="AKL Sans" w:cs="Arial"/>
                <w:lang w:val="en-NZ"/>
              </w:rPr>
            </w:pPr>
            <w:r w:rsidRPr="00D711E3">
              <w:rPr>
                <w:rFonts w:ascii="AKL Sans" w:hAnsi="AKL Sans" w:cs="Arial"/>
                <w:lang w:val="en-NZ"/>
              </w:rPr>
              <w:t>Maintain and update the RCSA and monitor implementation of controls and agreed treatment actions.</w:t>
            </w:r>
          </w:p>
          <w:p w14:paraId="54D056AA" w14:textId="77777777" w:rsidR="00D711E3" w:rsidRPr="00D711E3" w:rsidRDefault="00D711E3" w:rsidP="00197501">
            <w:pPr>
              <w:pStyle w:val="ListParagraph"/>
              <w:numPr>
                <w:ilvl w:val="0"/>
                <w:numId w:val="12"/>
              </w:numPr>
              <w:ind w:left="714" w:hanging="357"/>
              <w:rPr>
                <w:rFonts w:ascii="AKL Sans" w:hAnsi="AKL Sans" w:cs="Arial"/>
                <w:lang w:val="en-NZ"/>
              </w:rPr>
            </w:pPr>
            <w:r w:rsidRPr="00D711E3">
              <w:rPr>
                <w:rFonts w:ascii="AKL Sans" w:hAnsi="AKL Sans" w:cs="Arial"/>
                <w:lang w:val="en-NZ"/>
              </w:rPr>
              <w:t>Create or revise existing Risk Registers, advise, and guide functional leaders and business units as they update those registers.</w:t>
            </w:r>
          </w:p>
          <w:p w14:paraId="7A2986A2" w14:textId="57999DCF" w:rsidR="00EC2E3F" w:rsidRPr="00EC2E3F" w:rsidRDefault="00D711E3" w:rsidP="00197501">
            <w:pPr>
              <w:pStyle w:val="ListParagraph"/>
              <w:numPr>
                <w:ilvl w:val="0"/>
                <w:numId w:val="12"/>
              </w:numPr>
              <w:ind w:left="714" w:hanging="357"/>
              <w:rPr>
                <w:rFonts w:ascii="AKL Sans" w:hAnsi="AKL Sans" w:cs="Arial"/>
                <w:lang w:val="en-NZ"/>
              </w:rPr>
            </w:pPr>
            <w:r w:rsidRPr="00D711E3">
              <w:rPr>
                <w:rFonts w:ascii="AKL Sans" w:hAnsi="AKL Sans" w:cs="Arial"/>
                <w:lang w:val="en-NZ"/>
              </w:rPr>
              <w:t>Monitor the effectiveness of risk treatment strategies identified and listed in risk registers and RCSAs.</w:t>
            </w:r>
          </w:p>
        </w:tc>
      </w:tr>
      <w:tr w:rsidR="00D711E3" w:rsidRPr="00000251" w14:paraId="67F3F190" w14:textId="77777777" w:rsidTr="151806E9">
        <w:tc>
          <w:tcPr>
            <w:tcW w:w="2122" w:type="dxa"/>
            <w:tcBorders>
              <w:bottom w:val="single" w:sz="4" w:space="0" w:color="auto"/>
            </w:tcBorders>
          </w:tcPr>
          <w:p w14:paraId="465CAF94" w14:textId="6AE2E87D" w:rsidR="00D711E3" w:rsidRPr="00642273" w:rsidRDefault="00E355B0" w:rsidP="00BD2FB1">
            <w:pPr>
              <w:spacing w:before="120" w:after="80"/>
              <w:rPr>
                <w:rFonts w:ascii="AKL Sans" w:hAnsi="AKL Sans" w:cs="Arial"/>
                <w:b/>
                <w:bCs/>
                <w:lang w:val="en-NZ"/>
              </w:rPr>
            </w:pPr>
            <w:r w:rsidRPr="00E355B0">
              <w:rPr>
                <w:rFonts w:ascii="AKL Sans" w:hAnsi="AKL Sans" w:cs="Arial"/>
                <w:b/>
                <w:bCs/>
                <w:lang w:val="en-NZ"/>
              </w:rPr>
              <w:t>Reporting</w:t>
            </w:r>
          </w:p>
        </w:tc>
        <w:tc>
          <w:tcPr>
            <w:tcW w:w="7224" w:type="dxa"/>
            <w:gridSpan w:val="5"/>
            <w:tcBorders>
              <w:bottom w:val="single" w:sz="4" w:space="0" w:color="auto"/>
            </w:tcBorders>
          </w:tcPr>
          <w:p w14:paraId="59ED9B4F" w14:textId="77777777" w:rsidR="00256AF8" w:rsidRPr="00256AF8" w:rsidRDefault="00256AF8" w:rsidP="00197501">
            <w:pPr>
              <w:pStyle w:val="ListParagraph"/>
              <w:numPr>
                <w:ilvl w:val="0"/>
                <w:numId w:val="12"/>
              </w:numPr>
              <w:ind w:left="714" w:hanging="357"/>
              <w:rPr>
                <w:rFonts w:ascii="AKL Sans" w:hAnsi="AKL Sans" w:cs="Arial"/>
                <w:lang w:val="en-NZ"/>
              </w:rPr>
            </w:pPr>
            <w:r w:rsidRPr="00256AF8">
              <w:rPr>
                <w:rFonts w:ascii="AKL Sans" w:hAnsi="AKL Sans" w:cs="Arial"/>
                <w:lang w:val="en-NZ"/>
              </w:rPr>
              <w:t>Support with preparation of the various risk management reports to Enterprise Risk Committee (ERC) and Safety, Sustainability &amp; Operational Risk Committee (SSORC) in accordance with Enterprise Risk Management Framework (ERMF) and the Risk Management Policy.</w:t>
            </w:r>
          </w:p>
          <w:p w14:paraId="0B6C193E" w14:textId="77777777" w:rsidR="00256AF8" w:rsidRPr="00256AF8" w:rsidRDefault="00256AF8" w:rsidP="00197501">
            <w:pPr>
              <w:pStyle w:val="ListParagraph"/>
              <w:numPr>
                <w:ilvl w:val="0"/>
                <w:numId w:val="12"/>
              </w:numPr>
              <w:ind w:left="714" w:hanging="357"/>
              <w:rPr>
                <w:rFonts w:ascii="AKL Sans" w:hAnsi="AKL Sans" w:cs="Arial"/>
                <w:lang w:val="en-NZ"/>
              </w:rPr>
            </w:pPr>
            <w:r w:rsidRPr="00256AF8">
              <w:rPr>
                <w:rFonts w:ascii="AKL Sans" w:hAnsi="AKL Sans" w:cs="Arial"/>
                <w:lang w:val="en-NZ"/>
              </w:rPr>
              <w:t>Support to ensure reporting across all material risk categories (aligned with RAS) occurs effectively and efficiently.</w:t>
            </w:r>
          </w:p>
          <w:p w14:paraId="4D111672" w14:textId="77777777" w:rsidR="00256AF8" w:rsidRPr="00256AF8" w:rsidRDefault="00256AF8" w:rsidP="00197501">
            <w:pPr>
              <w:pStyle w:val="ListParagraph"/>
              <w:numPr>
                <w:ilvl w:val="0"/>
                <w:numId w:val="12"/>
              </w:numPr>
              <w:ind w:left="714" w:hanging="357"/>
              <w:rPr>
                <w:rFonts w:ascii="AKL Sans" w:hAnsi="AKL Sans" w:cs="Arial"/>
                <w:lang w:val="en-NZ"/>
              </w:rPr>
            </w:pPr>
            <w:r w:rsidRPr="00256AF8">
              <w:rPr>
                <w:rFonts w:ascii="AKL Sans" w:hAnsi="AKL Sans" w:cs="Arial"/>
                <w:lang w:val="en-NZ"/>
              </w:rPr>
              <w:t>Support functional business unit areas to monitor and report on the external risk environment and identify any new and emerging risks in their business.</w:t>
            </w:r>
          </w:p>
          <w:p w14:paraId="6CC8A1CC" w14:textId="2396F2BA" w:rsidR="00D711E3" w:rsidRPr="00D711E3" w:rsidRDefault="00256AF8" w:rsidP="00197501">
            <w:pPr>
              <w:pStyle w:val="ListParagraph"/>
              <w:numPr>
                <w:ilvl w:val="0"/>
                <w:numId w:val="12"/>
              </w:numPr>
              <w:ind w:left="714" w:hanging="357"/>
              <w:rPr>
                <w:rFonts w:ascii="AKL Sans" w:hAnsi="AKL Sans" w:cs="Arial"/>
                <w:lang w:val="en-NZ"/>
              </w:rPr>
            </w:pPr>
            <w:r w:rsidRPr="00256AF8">
              <w:rPr>
                <w:rFonts w:ascii="AKL Sans" w:hAnsi="AKL Sans" w:cs="Arial"/>
                <w:lang w:val="en-NZ"/>
              </w:rPr>
              <w:lastRenderedPageBreak/>
              <w:t>Assist the functional business unit areas to measure their risk management maturity and report on the implementation of actions to achieve target risk maturity.</w:t>
            </w:r>
          </w:p>
        </w:tc>
      </w:tr>
      <w:tr w:rsidR="00256AF8" w:rsidRPr="00000251" w14:paraId="460A4F7E" w14:textId="77777777" w:rsidTr="151806E9">
        <w:tc>
          <w:tcPr>
            <w:tcW w:w="2122" w:type="dxa"/>
            <w:tcBorders>
              <w:bottom w:val="single" w:sz="4" w:space="0" w:color="auto"/>
            </w:tcBorders>
          </w:tcPr>
          <w:p w14:paraId="2496D0FD" w14:textId="4BC296D7" w:rsidR="00256AF8" w:rsidRPr="00E355B0" w:rsidRDefault="00256AF8" w:rsidP="00BD2FB1">
            <w:pPr>
              <w:spacing w:before="120" w:after="80"/>
              <w:rPr>
                <w:rFonts w:ascii="AKL Sans" w:hAnsi="AKL Sans" w:cs="Arial"/>
                <w:b/>
                <w:bCs/>
                <w:lang w:val="en-NZ"/>
              </w:rPr>
            </w:pPr>
            <w:r>
              <w:rPr>
                <w:rFonts w:ascii="AKL Sans" w:hAnsi="AKL Sans" w:cs="Arial"/>
                <w:b/>
                <w:bCs/>
                <w:lang w:val="en-NZ"/>
              </w:rPr>
              <w:lastRenderedPageBreak/>
              <w:t>Training And Capability Development</w:t>
            </w:r>
          </w:p>
        </w:tc>
        <w:tc>
          <w:tcPr>
            <w:tcW w:w="7224" w:type="dxa"/>
            <w:gridSpan w:val="5"/>
            <w:tcBorders>
              <w:bottom w:val="single" w:sz="4" w:space="0" w:color="auto"/>
            </w:tcBorders>
          </w:tcPr>
          <w:p w14:paraId="5773A42E" w14:textId="77777777" w:rsidR="00D61A7E" w:rsidRPr="00D61A7E" w:rsidRDefault="00D61A7E" w:rsidP="00197501">
            <w:pPr>
              <w:pStyle w:val="ListParagraph"/>
              <w:numPr>
                <w:ilvl w:val="0"/>
                <w:numId w:val="12"/>
              </w:numPr>
              <w:ind w:left="714" w:hanging="357"/>
              <w:rPr>
                <w:rFonts w:ascii="AKL Sans" w:hAnsi="AKL Sans" w:cs="Arial"/>
                <w:lang w:val="en-NZ"/>
              </w:rPr>
            </w:pPr>
            <w:r w:rsidRPr="00D61A7E">
              <w:rPr>
                <w:rFonts w:ascii="AKL Sans" w:hAnsi="AKL Sans" w:cs="Arial"/>
                <w:lang w:val="en-NZ"/>
              </w:rPr>
              <w:t>Provide risk management training, advice, and support.</w:t>
            </w:r>
          </w:p>
          <w:p w14:paraId="0A6E68BB" w14:textId="77777777" w:rsidR="00D61A7E" w:rsidRPr="00D61A7E" w:rsidRDefault="00D61A7E" w:rsidP="00197501">
            <w:pPr>
              <w:pStyle w:val="ListParagraph"/>
              <w:numPr>
                <w:ilvl w:val="0"/>
                <w:numId w:val="12"/>
              </w:numPr>
              <w:ind w:left="714" w:hanging="357"/>
              <w:rPr>
                <w:rFonts w:ascii="AKL Sans" w:hAnsi="AKL Sans" w:cs="Arial"/>
                <w:lang w:val="en-NZ"/>
              </w:rPr>
            </w:pPr>
            <w:r w:rsidRPr="00D61A7E">
              <w:rPr>
                <w:rFonts w:ascii="AKL Sans" w:hAnsi="AKL Sans" w:cs="Arial"/>
                <w:lang w:val="en-NZ"/>
              </w:rPr>
              <w:t>Build capacity in relation to contemporary risk management practices:</w:t>
            </w:r>
          </w:p>
          <w:p w14:paraId="48B4969D" w14:textId="77777777" w:rsidR="00D61A7E" w:rsidRPr="00D61A7E" w:rsidRDefault="00D61A7E" w:rsidP="00197501">
            <w:pPr>
              <w:pStyle w:val="ListParagraph"/>
              <w:numPr>
                <w:ilvl w:val="0"/>
                <w:numId w:val="12"/>
              </w:numPr>
              <w:ind w:left="714" w:hanging="357"/>
              <w:rPr>
                <w:rFonts w:ascii="AKL Sans" w:hAnsi="AKL Sans" w:cs="Arial"/>
                <w:lang w:val="en-NZ"/>
              </w:rPr>
            </w:pPr>
            <w:r w:rsidRPr="00D61A7E">
              <w:rPr>
                <w:rFonts w:ascii="AKL Sans" w:hAnsi="AKL Sans" w:cs="Arial"/>
                <w:lang w:val="en-NZ"/>
              </w:rPr>
              <w:t>Facilitate risk management training programme.</w:t>
            </w:r>
          </w:p>
          <w:p w14:paraId="5302E637" w14:textId="77777777" w:rsidR="00D61A7E" w:rsidRPr="00D61A7E" w:rsidRDefault="00D61A7E" w:rsidP="00197501">
            <w:pPr>
              <w:pStyle w:val="ListParagraph"/>
              <w:numPr>
                <w:ilvl w:val="0"/>
                <w:numId w:val="12"/>
              </w:numPr>
              <w:ind w:left="714" w:hanging="357"/>
              <w:rPr>
                <w:rFonts w:ascii="AKL Sans" w:hAnsi="AKL Sans" w:cs="Arial"/>
                <w:lang w:val="en-NZ"/>
              </w:rPr>
            </w:pPr>
            <w:r w:rsidRPr="00D61A7E">
              <w:rPr>
                <w:rFonts w:ascii="AKL Sans" w:hAnsi="AKL Sans" w:cs="Arial"/>
                <w:lang w:val="en-NZ"/>
              </w:rPr>
              <w:t>Advise, support, and assist business unit leaders to conduct risk workshops.</w:t>
            </w:r>
          </w:p>
          <w:p w14:paraId="48DC49DC" w14:textId="3146BC60" w:rsidR="00256AF8" w:rsidRPr="00256AF8" w:rsidRDefault="00D61A7E" w:rsidP="00197501">
            <w:pPr>
              <w:pStyle w:val="ListParagraph"/>
              <w:numPr>
                <w:ilvl w:val="0"/>
                <w:numId w:val="12"/>
              </w:numPr>
              <w:ind w:left="714" w:hanging="357"/>
              <w:rPr>
                <w:rFonts w:ascii="AKL Sans" w:hAnsi="AKL Sans" w:cs="Arial"/>
                <w:lang w:val="en-NZ"/>
              </w:rPr>
            </w:pPr>
            <w:r w:rsidRPr="00D61A7E">
              <w:rPr>
                <w:rFonts w:ascii="AKL Sans" w:hAnsi="AKL Sans" w:cs="Arial"/>
                <w:lang w:val="en-NZ"/>
              </w:rPr>
              <w:t>Raise awareness of contemporary risk management issues impacting or potentially impacting the business in future.</w:t>
            </w:r>
          </w:p>
        </w:tc>
      </w:tr>
      <w:tr w:rsidR="00000251" w:rsidRPr="00000251" w14:paraId="2BB178A9" w14:textId="77777777" w:rsidTr="151806E9">
        <w:tc>
          <w:tcPr>
            <w:tcW w:w="2122" w:type="dxa"/>
            <w:tcBorders>
              <w:bottom w:val="single" w:sz="4" w:space="0" w:color="auto"/>
            </w:tcBorders>
          </w:tcPr>
          <w:p w14:paraId="059C82CE" w14:textId="77777777" w:rsidR="00000251" w:rsidRPr="00000251"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000251">
              <w:rPr>
                <w:rFonts w:ascii="AKL Sans" w:hAnsi="AKL Sans" w:cs="Arial"/>
                <w:b/>
                <w:bCs/>
                <w:sz w:val="22"/>
                <w:szCs w:val="22"/>
              </w:rPr>
              <w:t>Health, Safety and</w:t>
            </w:r>
            <w:r w:rsidRPr="00000251">
              <w:rPr>
                <w:rFonts w:ascii="AKL Sans" w:hAnsi="AKL Sans" w:cs="Arial"/>
                <w:sz w:val="22"/>
                <w:szCs w:val="22"/>
              </w:rPr>
              <w:t xml:space="preserve"> </w:t>
            </w:r>
            <w:r w:rsidRPr="00000251">
              <w:rPr>
                <w:rFonts w:ascii="AKL Sans" w:hAnsi="AKL Sans" w:cs="Arial"/>
                <w:b/>
                <w:bCs/>
                <w:sz w:val="22"/>
                <w:szCs w:val="22"/>
              </w:rPr>
              <w:t xml:space="preserve">Wellbeing </w:t>
            </w:r>
          </w:p>
          <w:p w14:paraId="6052CAA9" w14:textId="28BAFC0C" w:rsidR="00000251" w:rsidRPr="00000251" w:rsidRDefault="00000251" w:rsidP="00197501">
            <w:pPr>
              <w:pStyle w:val="Milkbulletpoint"/>
              <w:numPr>
                <w:ilvl w:val="0"/>
                <w:numId w:val="0"/>
              </w:numPr>
              <w:spacing w:before="120" w:after="120" w:line="240" w:lineRule="auto"/>
              <w:rPr>
                <w:rFonts w:ascii="AKL Sans" w:hAnsi="AKL Sans" w:cs="Arial"/>
                <w:color w:val="A6A6A6" w:themeColor="background1" w:themeShade="A6"/>
                <w:sz w:val="22"/>
                <w:szCs w:val="22"/>
              </w:rPr>
            </w:pPr>
          </w:p>
        </w:tc>
        <w:tc>
          <w:tcPr>
            <w:tcW w:w="7224" w:type="dxa"/>
            <w:gridSpan w:val="5"/>
            <w:tcBorders>
              <w:bottom w:val="single" w:sz="4" w:space="0" w:color="auto"/>
            </w:tcBorders>
          </w:tcPr>
          <w:p w14:paraId="6335AD94" w14:textId="77777777" w:rsidR="00000251" w:rsidRPr="00197501" w:rsidRDefault="00000251" w:rsidP="00197501">
            <w:pPr>
              <w:pStyle w:val="ListParagraph"/>
              <w:numPr>
                <w:ilvl w:val="0"/>
                <w:numId w:val="12"/>
              </w:numPr>
              <w:ind w:left="714" w:hanging="357"/>
              <w:rPr>
                <w:rFonts w:ascii="AKL Sans" w:hAnsi="AKL Sans" w:cs="Arial"/>
                <w:lang w:val="en-NZ"/>
              </w:rPr>
            </w:pPr>
            <w:r w:rsidRPr="00197501">
              <w:rPr>
                <w:rFonts w:ascii="AKL Sans" w:hAnsi="AKL Sans" w:cs="Arial"/>
                <w:lang w:val="en-NZ"/>
              </w:rPr>
              <w:t>Role model Auckland Airport’s commitment to “People First” Health, Safety &amp; Wellbeing approach</w:t>
            </w:r>
          </w:p>
          <w:p w14:paraId="1D50EE18" w14:textId="77777777" w:rsidR="00000251" w:rsidRPr="00197501" w:rsidRDefault="00000251" w:rsidP="00197501">
            <w:pPr>
              <w:pStyle w:val="ListParagraph"/>
              <w:numPr>
                <w:ilvl w:val="0"/>
                <w:numId w:val="12"/>
              </w:numPr>
              <w:ind w:left="714" w:hanging="357"/>
              <w:rPr>
                <w:rFonts w:ascii="AKL Sans" w:hAnsi="AKL Sans" w:cs="Arial"/>
                <w:lang w:val="en-NZ"/>
              </w:rPr>
            </w:pPr>
            <w:r w:rsidRPr="00197501">
              <w:rPr>
                <w:rFonts w:ascii="AKL Sans" w:hAnsi="AKL Sans" w:cs="Arial"/>
                <w:lang w:val="en-NZ"/>
              </w:rPr>
              <w:t>Lead by example, demonstrating and communicating visibly safe work.</w:t>
            </w:r>
          </w:p>
          <w:p w14:paraId="44CAD4B4" w14:textId="77777777" w:rsidR="00000251" w:rsidRPr="00197501" w:rsidRDefault="00000251" w:rsidP="00197501">
            <w:pPr>
              <w:pStyle w:val="ListParagraph"/>
              <w:numPr>
                <w:ilvl w:val="0"/>
                <w:numId w:val="12"/>
              </w:numPr>
              <w:ind w:left="714" w:hanging="357"/>
              <w:rPr>
                <w:rFonts w:ascii="AKL Sans" w:hAnsi="AKL Sans" w:cs="Arial"/>
                <w:lang w:val="en-NZ"/>
              </w:rPr>
            </w:pPr>
            <w:r w:rsidRPr="00197501">
              <w:rPr>
                <w:rFonts w:ascii="AKL Sans" w:hAnsi="AKL Sans" w:cs="Arial"/>
                <w:lang w:val="en-NZ"/>
              </w:rPr>
              <w:t>Ensure all incidents are reported and investigated in a timely manner to enable continuous learning and improvement.</w:t>
            </w:r>
          </w:p>
          <w:p w14:paraId="344EC9E5" w14:textId="77777777" w:rsidR="00000251" w:rsidRPr="00197501" w:rsidRDefault="00000251" w:rsidP="00197501">
            <w:pPr>
              <w:pStyle w:val="ListParagraph"/>
              <w:numPr>
                <w:ilvl w:val="0"/>
                <w:numId w:val="12"/>
              </w:numPr>
              <w:ind w:left="714" w:hanging="357"/>
              <w:rPr>
                <w:rFonts w:ascii="AKL Sans" w:hAnsi="AKL Sans" w:cs="Arial"/>
                <w:lang w:val="en-NZ"/>
              </w:rPr>
            </w:pPr>
            <w:r w:rsidRPr="00197501">
              <w:rPr>
                <w:rFonts w:ascii="AKL Sans" w:hAnsi="AKL Sans" w:cs="Arial"/>
                <w:lang w:val="en-NZ"/>
              </w:rPr>
              <w:t xml:space="preserve">Consult, engage and communicate within your team and to others, to manage and improve Health, Safety and Wellbeing. </w:t>
            </w:r>
          </w:p>
          <w:p w14:paraId="4DA41B20" w14:textId="77777777" w:rsidR="00000251" w:rsidRPr="00197501" w:rsidRDefault="00000251" w:rsidP="00197501">
            <w:pPr>
              <w:pStyle w:val="ListParagraph"/>
              <w:numPr>
                <w:ilvl w:val="0"/>
                <w:numId w:val="12"/>
              </w:numPr>
              <w:ind w:left="714" w:hanging="357"/>
              <w:rPr>
                <w:rFonts w:ascii="AKL Sans" w:hAnsi="AKL Sans" w:cs="Arial"/>
                <w:lang w:val="en-NZ"/>
              </w:rPr>
            </w:pPr>
            <w:r w:rsidRPr="00197501">
              <w:rPr>
                <w:rFonts w:ascii="AKL Sans" w:hAnsi="AKL Sans" w:cs="Arial"/>
                <w:lang w:val="en-NZ"/>
              </w:rPr>
              <w:t>Understand and communicate the health, safety and wellbeing risks and controls across all the work your team carry out and maintain high levels of risk awareness within your team.</w:t>
            </w:r>
          </w:p>
        </w:tc>
      </w:tr>
      <w:tr w:rsidR="00000251" w:rsidRPr="00000251" w14:paraId="6A2C22B7" w14:textId="77777777" w:rsidTr="151806E9">
        <w:tc>
          <w:tcPr>
            <w:tcW w:w="9346" w:type="dxa"/>
            <w:gridSpan w:val="6"/>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000251" w:rsidRPr="00000251" w14:paraId="2FFBB164" w14:textId="77777777" w:rsidTr="151806E9">
        <w:tc>
          <w:tcPr>
            <w:tcW w:w="4496" w:type="dxa"/>
            <w:gridSpan w:val="4"/>
            <w:shd w:val="clear" w:color="auto" w:fill="B4E3FF" w:themeFill="accent1" w:themeFillTint="33"/>
          </w:tcPr>
          <w:p w14:paraId="3A3CAF4E" w14:textId="36B4A251"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Capital Expenditure</w:t>
            </w:r>
          </w:p>
        </w:tc>
        <w:tc>
          <w:tcPr>
            <w:tcW w:w="4850" w:type="dxa"/>
            <w:gridSpan w:val="2"/>
            <w:shd w:val="clear" w:color="auto" w:fill="B4E3FF" w:themeFill="accent1" w:themeFillTint="33"/>
          </w:tcPr>
          <w:p w14:paraId="451E2199" w14:textId="52DEC323"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Operating Expenditure</w:t>
            </w:r>
          </w:p>
        </w:tc>
      </w:tr>
      <w:tr w:rsidR="00000251" w:rsidRPr="00000251" w14:paraId="3FD23F18" w14:textId="77777777" w:rsidTr="151806E9">
        <w:trPr>
          <w:trHeight w:val="1136"/>
        </w:trPr>
        <w:tc>
          <w:tcPr>
            <w:tcW w:w="4496" w:type="dxa"/>
            <w:gridSpan w:val="4"/>
            <w:vAlign w:val="center"/>
          </w:tcPr>
          <w:tbl>
            <w:tblPr>
              <w:tblStyle w:val="TableGrid"/>
              <w:tblW w:w="0" w:type="auto"/>
              <w:tblLook w:val="04A0" w:firstRow="1" w:lastRow="0" w:firstColumn="1" w:lastColumn="0" w:noHBand="0" w:noVBand="1"/>
            </w:tblPr>
            <w:tblGrid>
              <w:gridCol w:w="1606"/>
              <w:gridCol w:w="2457"/>
            </w:tblGrid>
            <w:tr w:rsidR="00000251" w:rsidRPr="00000251" w14:paraId="26D8DE35"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65D115C1"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213C7172"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000251" w:rsidRPr="00000251" w14:paraId="26A2CBE0" w14:textId="77777777" w:rsidTr="0063249B">
              <w:tc>
                <w:tcPr>
                  <w:tcW w:w="0" w:type="auto"/>
                </w:tcPr>
                <w:p w14:paraId="4CE4B7F7"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7D7257E4"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4E742891"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c>
          <w:tcPr>
            <w:tcW w:w="4850" w:type="dxa"/>
            <w:gridSpan w:val="2"/>
            <w:vAlign w:val="center"/>
          </w:tcPr>
          <w:tbl>
            <w:tblPr>
              <w:tblStyle w:val="TableGrid"/>
              <w:tblW w:w="0" w:type="auto"/>
              <w:tblLook w:val="04A0" w:firstRow="1" w:lastRow="0" w:firstColumn="1" w:lastColumn="0" w:noHBand="0" w:noVBand="1"/>
            </w:tblPr>
            <w:tblGrid>
              <w:gridCol w:w="1606"/>
              <w:gridCol w:w="2457"/>
            </w:tblGrid>
            <w:tr w:rsidR="00000251" w:rsidRPr="00000251" w14:paraId="36332237"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945147F"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4A303376"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000251" w:rsidRPr="00000251" w14:paraId="0E9DC864" w14:textId="77777777" w:rsidTr="0063249B">
              <w:tc>
                <w:tcPr>
                  <w:tcW w:w="0" w:type="auto"/>
                </w:tcPr>
                <w:p w14:paraId="23E397D9"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6D45175A"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561D5EFF"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r>
      <w:tr w:rsidR="00000251" w:rsidRPr="00000251" w14:paraId="34C0F617" w14:textId="77777777" w:rsidTr="151806E9">
        <w:tc>
          <w:tcPr>
            <w:tcW w:w="9346" w:type="dxa"/>
            <w:gridSpan w:val="6"/>
            <w:shd w:val="clear" w:color="auto" w:fill="B4E3FF" w:themeFill="accent1" w:themeFillTint="33"/>
          </w:tcPr>
          <w:p w14:paraId="7FCB491E" w14:textId="1B848290" w:rsidR="00000251" w:rsidRPr="008B0690" w:rsidRDefault="00000251" w:rsidP="0063249B">
            <w:pPr>
              <w:spacing w:before="120" w:after="120"/>
              <w:rPr>
                <w:rFonts w:ascii="AKL Sans" w:hAnsi="AKL Sans" w:cs="Arial"/>
                <w:b/>
                <w:bCs/>
              </w:rPr>
            </w:pPr>
            <w:r w:rsidRPr="008B0690">
              <w:rPr>
                <w:rFonts w:ascii="AKL Sans" w:hAnsi="AKL Sans" w:cs="Arial"/>
                <w:b/>
                <w:bCs/>
                <w:sz w:val="24"/>
                <w:lang w:val="en-NZ"/>
              </w:rPr>
              <w:t xml:space="preserve">Financial Authority </w:t>
            </w:r>
          </w:p>
        </w:tc>
      </w:tr>
      <w:tr w:rsidR="00000251" w:rsidRPr="00000251" w14:paraId="0351CBED" w14:textId="77777777" w:rsidTr="151806E9">
        <w:tc>
          <w:tcPr>
            <w:tcW w:w="9346" w:type="dxa"/>
            <w:gridSpan w:val="6"/>
            <w:shd w:val="clear" w:color="auto" w:fill="auto"/>
          </w:tcPr>
          <w:p w14:paraId="59D60A30" w14:textId="40A1B418" w:rsidR="00000251" w:rsidRPr="008B0690" w:rsidRDefault="00000251" w:rsidP="008B0690">
            <w:pPr>
              <w:pStyle w:val="ListParagraph"/>
              <w:numPr>
                <w:ilvl w:val="0"/>
                <w:numId w:val="8"/>
              </w:numPr>
              <w:tabs>
                <w:tab w:val="left" w:pos="2007"/>
              </w:tabs>
              <w:kinsoku w:val="0"/>
              <w:overflowPunct w:val="0"/>
              <w:autoSpaceDE w:val="0"/>
              <w:autoSpaceDN w:val="0"/>
              <w:adjustRightInd w:val="0"/>
              <w:spacing w:before="120" w:after="120"/>
              <w:ind w:right="108"/>
              <w:rPr>
                <w:rFonts w:ascii="AKL Sans" w:hAnsi="AKL Sans" w:cs="Arial"/>
              </w:rPr>
            </w:pPr>
            <w:r w:rsidRPr="008B0690">
              <w:rPr>
                <w:rFonts w:ascii="AKL Sans" w:hAnsi="AKL Sans" w:cs="Arial"/>
              </w:rPr>
              <w:t>Not accountable for expenditure budget. No authority to commit routine expenditure or capital expenditure without reference to people leader.</w:t>
            </w:r>
          </w:p>
        </w:tc>
      </w:tr>
      <w:tr w:rsidR="00000251" w:rsidRPr="00000251" w14:paraId="175B31E8" w14:textId="77777777" w:rsidTr="151806E9">
        <w:tc>
          <w:tcPr>
            <w:tcW w:w="9346" w:type="dxa"/>
            <w:gridSpan w:val="6"/>
            <w:shd w:val="clear" w:color="auto" w:fill="1EABFF" w:themeFill="accent1" w:themeFillTint="99"/>
          </w:tcPr>
          <w:p w14:paraId="7408F991"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000251" w:rsidRPr="00000251" w14:paraId="3C2AB06E" w14:textId="77777777" w:rsidTr="151806E9">
        <w:tc>
          <w:tcPr>
            <w:tcW w:w="9346" w:type="dxa"/>
            <w:gridSpan w:val="6"/>
            <w:shd w:val="clear" w:color="auto" w:fill="auto"/>
          </w:tcPr>
          <w:p w14:paraId="199BEF11" w14:textId="34FE3670" w:rsidR="00D14403" w:rsidRDefault="00D14403" w:rsidP="00D14403">
            <w:pPr>
              <w:pStyle w:val="paragraph"/>
              <w:spacing w:before="0" w:beforeAutospacing="0" w:after="0" w:afterAutospacing="0"/>
              <w:textAlignment w:val="baseline"/>
              <w:rPr>
                <w:rFonts w:cs="Segoe UI"/>
                <w:sz w:val="18"/>
                <w:szCs w:val="18"/>
              </w:rPr>
            </w:pPr>
          </w:p>
          <w:p w14:paraId="3E0CE17B" w14:textId="33AFC783" w:rsidR="00D14403" w:rsidRDefault="00E418BA" w:rsidP="00D14403">
            <w:pPr>
              <w:pStyle w:val="paragraph"/>
              <w:spacing w:before="0" w:beforeAutospacing="0" w:after="0" w:afterAutospacing="0"/>
              <w:textAlignment w:val="baseline"/>
              <w:rPr>
                <w:rFonts w:cs="Segoe UI"/>
                <w:sz w:val="18"/>
                <w:szCs w:val="18"/>
              </w:rPr>
            </w:pPr>
            <w:r>
              <w:rPr>
                <w:rFonts w:cs="Segoe UI"/>
                <w:noProof/>
                <w:sz w:val="18"/>
                <w:szCs w:val="18"/>
              </w:rPr>
              <w:drawing>
                <wp:anchor distT="0" distB="0" distL="114300" distR="114300" simplePos="0" relativeHeight="251658243" behindDoc="1" locked="0" layoutInCell="1" allowOverlap="1" wp14:anchorId="6CF8B050" wp14:editId="757471D4">
                  <wp:simplePos x="0" y="0"/>
                  <wp:positionH relativeFrom="column">
                    <wp:posOffset>1246505</wp:posOffset>
                  </wp:positionH>
                  <wp:positionV relativeFrom="paragraph">
                    <wp:posOffset>19685</wp:posOffset>
                  </wp:positionV>
                  <wp:extent cx="3243580" cy="1487170"/>
                  <wp:effectExtent l="0" t="0" r="0" b="17780"/>
                  <wp:wrapTight wrapText="bothSides">
                    <wp:wrapPolygon edited="0">
                      <wp:start x="6470" y="0"/>
                      <wp:lineTo x="6470" y="21582"/>
                      <wp:lineTo x="15096" y="21582"/>
                      <wp:lineTo x="15096" y="0"/>
                      <wp:lineTo x="6470" y="0"/>
                    </wp:wrapPolygon>
                  </wp:wrapTight>
                  <wp:docPr id="35571776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32DDBD8F" w14:textId="77777777" w:rsidR="007C0D10" w:rsidRDefault="007C0D10" w:rsidP="00D14403">
            <w:pPr>
              <w:pStyle w:val="paragraph"/>
              <w:spacing w:before="0" w:beforeAutospacing="0" w:after="0" w:afterAutospacing="0"/>
              <w:textAlignment w:val="baseline"/>
              <w:rPr>
                <w:rFonts w:cs="Segoe UI"/>
                <w:sz w:val="18"/>
                <w:szCs w:val="18"/>
              </w:rPr>
            </w:pPr>
          </w:p>
          <w:p w14:paraId="359FFD7C" w14:textId="77777777" w:rsidR="007C0D10" w:rsidRDefault="007C0D10" w:rsidP="00D14403">
            <w:pPr>
              <w:pStyle w:val="paragraph"/>
              <w:spacing w:before="0" w:beforeAutospacing="0" w:after="0" w:afterAutospacing="0"/>
              <w:textAlignment w:val="baseline"/>
              <w:rPr>
                <w:rFonts w:cs="Segoe UI"/>
                <w:sz w:val="18"/>
                <w:szCs w:val="18"/>
              </w:rPr>
            </w:pPr>
          </w:p>
          <w:p w14:paraId="0FE29294"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4F3E4D8F"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3850DE06"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03AC2520"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1F2CF6B2"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088AE5BC"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670130AB" w14:textId="77777777" w:rsidR="007C0D10" w:rsidRDefault="007C0D10" w:rsidP="00D14403">
            <w:pPr>
              <w:pStyle w:val="paragraph"/>
              <w:spacing w:before="0" w:beforeAutospacing="0" w:after="0" w:afterAutospacing="0"/>
              <w:textAlignment w:val="baseline"/>
              <w:rPr>
                <w:rFonts w:ascii="AKL Sans" w:hAnsi="AKL Sans" w:cs="Segoe UI"/>
                <w:sz w:val="18"/>
                <w:szCs w:val="18"/>
              </w:rPr>
            </w:pPr>
          </w:p>
          <w:p w14:paraId="42C1C306" w14:textId="77777777" w:rsidR="00E418BA" w:rsidRDefault="00E418BA" w:rsidP="00D14403">
            <w:pPr>
              <w:pStyle w:val="paragraph"/>
              <w:spacing w:before="0" w:beforeAutospacing="0" w:after="0" w:afterAutospacing="0"/>
              <w:textAlignment w:val="baseline"/>
              <w:rPr>
                <w:rFonts w:ascii="AKL Sans" w:hAnsi="AKL Sans" w:cs="Segoe UI"/>
                <w:sz w:val="18"/>
                <w:szCs w:val="18"/>
              </w:rPr>
            </w:pPr>
          </w:p>
          <w:p w14:paraId="6F3ABA40" w14:textId="77777777" w:rsidR="00E418BA" w:rsidRDefault="00E418BA" w:rsidP="00D14403">
            <w:pPr>
              <w:pStyle w:val="paragraph"/>
              <w:spacing w:before="0" w:beforeAutospacing="0" w:after="0" w:afterAutospacing="0"/>
              <w:textAlignment w:val="baseline"/>
              <w:rPr>
                <w:rFonts w:ascii="AKL Sans" w:hAnsi="AKL Sans" w:cs="Segoe UI"/>
                <w:sz w:val="18"/>
                <w:szCs w:val="18"/>
              </w:rPr>
            </w:pPr>
          </w:p>
          <w:p w14:paraId="42424370" w14:textId="77777777" w:rsidR="00E418BA" w:rsidRDefault="00E418BA" w:rsidP="00D14403">
            <w:pPr>
              <w:pStyle w:val="paragraph"/>
              <w:spacing w:before="0" w:beforeAutospacing="0" w:after="0" w:afterAutospacing="0"/>
              <w:textAlignment w:val="baseline"/>
              <w:rPr>
                <w:rFonts w:ascii="AKL Sans" w:hAnsi="AKL Sans" w:cs="Segoe UI"/>
                <w:sz w:val="18"/>
                <w:szCs w:val="18"/>
              </w:rPr>
            </w:pPr>
          </w:p>
          <w:p w14:paraId="49BC1E39" w14:textId="77777777" w:rsidR="00E418BA" w:rsidRDefault="00E418BA" w:rsidP="00D14403">
            <w:pPr>
              <w:pStyle w:val="paragraph"/>
              <w:spacing w:before="0" w:beforeAutospacing="0" w:after="0" w:afterAutospacing="0"/>
              <w:textAlignment w:val="baseline"/>
              <w:rPr>
                <w:rFonts w:ascii="AKL Sans" w:hAnsi="AKL Sans" w:cs="Segoe UI"/>
                <w:sz w:val="18"/>
                <w:szCs w:val="18"/>
              </w:rPr>
            </w:pPr>
          </w:p>
          <w:p w14:paraId="117121CF" w14:textId="1CE7B992" w:rsidR="00E418BA" w:rsidRPr="00000251" w:rsidRDefault="00E418BA" w:rsidP="00D14403">
            <w:pPr>
              <w:pStyle w:val="paragraph"/>
              <w:spacing w:before="0" w:beforeAutospacing="0" w:after="0" w:afterAutospacing="0"/>
              <w:textAlignment w:val="baseline"/>
              <w:rPr>
                <w:rFonts w:ascii="AKL Sans" w:hAnsi="AKL Sans" w:cs="Segoe UI"/>
                <w:sz w:val="18"/>
                <w:szCs w:val="18"/>
              </w:rPr>
            </w:pPr>
          </w:p>
        </w:tc>
      </w:tr>
      <w:tr w:rsidR="00000251" w:rsidRPr="00000251" w14:paraId="614FF65C" w14:textId="77777777" w:rsidTr="151806E9">
        <w:tc>
          <w:tcPr>
            <w:tcW w:w="9346" w:type="dxa"/>
            <w:gridSpan w:val="6"/>
            <w:shd w:val="clear" w:color="auto" w:fill="1EABFF" w:themeFill="accent1" w:themeFillTint="99"/>
          </w:tcPr>
          <w:p w14:paraId="4CBF4892" w14:textId="77777777" w:rsidR="00000251" w:rsidRPr="00000251" w:rsidRDefault="00000251" w:rsidP="0063249B">
            <w:pPr>
              <w:spacing w:before="120" w:after="120"/>
              <w:rPr>
                <w:rFonts w:ascii="AKL Sans" w:hAnsi="AKL Sans" w:cs="Arial"/>
                <w:b/>
                <w:bCs/>
                <w:sz w:val="24"/>
                <w:szCs w:val="24"/>
                <w:lang w:val="en-NZ"/>
              </w:rPr>
            </w:pPr>
            <w:r w:rsidRPr="00000251">
              <w:rPr>
                <w:rFonts w:ascii="AKL Sans" w:hAnsi="AKL Sans" w:cs="Arial"/>
                <w:b/>
                <w:bCs/>
                <w:sz w:val="24"/>
                <w:szCs w:val="24"/>
                <w:lang w:val="en-NZ"/>
              </w:rPr>
              <w:lastRenderedPageBreak/>
              <w:t>Key Challenges</w:t>
            </w:r>
          </w:p>
        </w:tc>
      </w:tr>
      <w:tr w:rsidR="00000251" w:rsidRPr="00000251" w14:paraId="40EF2861" w14:textId="77777777" w:rsidTr="151806E9">
        <w:trPr>
          <w:trHeight w:val="2344"/>
        </w:trPr>
        <w:tc>
          <w:tcPr>
            <w:tcW w:w="9346" w:type="dxa"/>
            <w:gridSpan w:val="6"/>
            <w:shd w:val="clear" w:color="auto" w:fill="auto"/>
          </w:tcPr>
          <w:p w14:paraId="44E35437" w14:textId="77777777" w:rsidR="00E418BA"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 xml:space="preserve">Coaching and influencing functional business unit areas to move away from the various risk management approaches and practices into a central top down ERM framework to provide the CE, Chiefs or Leadership Team (LT) and Board an interconnected and interdependent holistic view of Governance, Risk and Compliance (GRC). </w:t>
            </w:r>
          </w:p>
          <w:p w14:paraId="6022A94E" w14:textId="77777777" w:rsidR="00E418BA"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Maintaining a balance of working in collaboration with the Enterprise Risk team and autonomously with the assigned functional business unit area’s chief, line managers, and staff members to identify, assess and manage risks to realise business outcomes.</w:t>
            </w:r>
          </w:p>
          <w:p w14:paraId="2CC601AF" w14:textId="77777777" w:rsidR="00E418BA"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 xml:space="preserve">Uplifting the risk culture and maturity to ensure AKL’s movement towards a customer centric approach is achieved i.e. risk identification, and enterprise risk assessment needs to occur systematically and in a holistic manner rather than operating in silo. </w:t>
            </w:r>
          </w:p>
          <w:p w14:paraId="433B6313" w14:textId="77777777" w:rsidR="00E418BA"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Managing complex and sensitive discussions with diverse stakeholders within agreed timelines, given the need to balance BAU traditional risk management, competing interests and demands which are often changing and unpredictable.</w:t>
            </w:r>
          </w:p>
          <w:p w14:paraId="5854BB33" w14:textId="77777777" w:rsidR="00E418BA"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Ensuring risk management initiatives operating in the functional business unit areas align with AKL’s enterprise risk management approach and framework.</w:t>
            </w:r>
          </w:p>
          <w:p w14:paraId="7CB82EFA" w14:textId="095277AC" w:rsidR="00000251" w:rsidRPr="00E418BA" w:rsidRDefault="00E418BA" w:rsidP="00E418BA">
            <w:pPr>
              <w:pStyle w:val="ListParagraph"/>
              <w:numPr>
                <w:ilvl w:val="0"/>
                <w:numId w:val="8"/>
              </w:numPr>
              <w:tabs>
                <w:tab w:val="left" w:pos="2007"/>
              </w:tabs>
              <w:kinsoku w:val="0"/>
              <w:overflowPunct w:val="0"/>
              <w:autoSpaceDE w:val="0"/>
              <w:autoSpaceDN w:val="0"/>
              <w:adjustRightInd w:val="0"/>
              <w:ind w:left="714" w:right="108" w:hanging="357"/>
              <w:rPr>
                <w:rFonts w:ascii="AKL Sans" w:hAnsi="AKL Sans" w:cs="Arial"/>
              </w:rPr>
            </w:pPr>
            <w:r w:rsidRPr="00E418BA">
              <w:rPr>
                <w:rFonts w:ascii="AKL Sans" w:hAnsi="AKL Sans" w:cs="Arial"/>
              </w:rPr>
              <w:t>Facilitating risk management workshops with a large variety of stakeholders.</w:t>
            </w:r>
          </w:p>
        </w:tc>
      </w:tr>
      <w:tr w:rsidR="00000251" w:rsidRPr="00000251" w14:paraId="664B8F3B" w14:textId="77777777" w:rsidTr="151806E9">
        <w:tc>
          <w:tcPr>
            <w:tcW w:w="9346" w:type="dxa"/>
            <w:gridSpan w:val="6"/>
            <w:shd w:val="clear" w:color="auto" w:fill="1EABFF" w:themeFill="accent1" w:themeFillTint="99"/>
          </w:tcPr>
          <w:p w14:paraId="31ECD8F2"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00000251" w:rsidRPr="00000251" w14:paraId="3DC9AEE1" w14:textId="77777777" w:rsidTr="151806E9">
        <w:tc>
          <w:tcPr>
            <w:tcW w:w="4626" w:type="dxa"/>
            <w:gridSpan w:val="5"/>
            <w:shd w:val="clear" w:color="auto" w:fill="B4E3FF" w:themeFill="accent1" w:themeFillTint="33"/>
          </w:tcPr>
          <w:p w14:paraId="7BC2CA08" w14:textId="77777777" w:rsidR="00000251" w:rsidRPr="008B1E1C" w:rsidRDefault="00000251" w:rsidP="004A4007">
            <w:pPr>
              <w:pStyle w:val="Heading2"/>
              <w:spacing w:before="120" w:after="120"/>
              <w:rPr>
                <w:rFonts w:ascii="AKL Sans" w:hAnsi="AKL Sans" w:cs="Arial"/>
                <w:lang w:val="en-NZ"/>
              </w:rPr>
            </w:pPr>
            <w:r w:rsidRPr="008B1E1C">
              <w:rPr>
                <w:rFonts w:ascii="AKL Sans" w:hAnsi="AKL Sans" w:cs="Arial"/>
                <w:lang w:val="en-NZ"/>
              </w:rPr>
              <w:t>Internal</w:t>
            </w:r>
          </w:p>
        </w:tc>
        <w:tc>
          <w:tcPr>
            <w:tcW w:w="4720" w:type="dxa"/>
            <w:shd w:val="clear" w:color="auto" w:fill="B4E3FF" w:themeFill="accent1" w:themeFillTint="33"/>
          </w:tcPr>
          <w:p w14:paraId="7ACDA1EB"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3E647334" w14:textId="77777777" w:rsidTr="151806E9">
        <w:trPr>
          <w:trHeight w:val="1333"/>
        </w:trPr>
        <w:tc>
          <w:tcPr>
            <w:tcW w:w="4626" w:type="dxa"/>
            <w:gridSpan w:val="5"/>
            <w:tcBorders>
              <w:top w:val="single" w:sz="4" w:space="0" w:color="auto"/>
              <w:left w:val="single" w:sz="4" w:space="0" w:color="auto"/>
              <w:bottom w:val="single" w:sz="4" w:space="0" w:color="auto"/>
              <w:right w:val="single" w:sz="4" w:space="0" w:color="auto"/>
            </w:tcBorders>
          </w:tcPr>
          <w:p w14:paraId="4CF8351A" w14:textId="04E6F870" w:rsidR="00000251" w:rsidRPr="008B1E1C" w:rsidRDefault="008B1E1C" w:rsidP="008B1E1C">
            <w:pPr>
              <w:pStyle w:val="ListParagraph"/>
              <w:numPr>
                <w:ilvl w:val="0"/>
                <w:numId w:val="8"/>
              </w:numPr>
              <w:tabs>
                <w:tab w:val="left" w:pos="2007"/>
              </w:tabs>
              <w:kinsoku w:val="0"/>
              <w:overflowPunct w:val="0"/>
              <w:autoSpaceDE w:val="0"/>
              <w:autoSpaceDN w:val="0"/>
              <w:adjustRightInd w:val="0"/>
              <w:ind w:right="108"/>
              <w:rPr>
                <w:rFonts w:ascii="AKL Sans" w:hAnsi="AKL Sans" w:cs="Arial"/>
                <w:lang w:val="en-NZ"/>
              </w:rPr>
            </w:pPr>
            <w:r w:rsidRPr="008B1E1C">
              <w:rPr>
                <w:rFonts w:ascii="AKL Sans" w:hAnsi="AKL Sans" w:cs="Arial"/>
              </w:rPr>
              <w:t>Must be able to work with all relevant stakeholders in the functional business unit areas including the chiefs, line managers and wider staff members.</w:t>
            </w:r>
          </w:p>
        </w:tc>
        <w:tc>
          <w:tcPr>
            <w:tcW w:w="4720" w:type="dxa"/>
            <w:tcBorders>
              <w:top w:val="single" w:sz="4" w:space="0" w:color="auto"/>
              <w:left w:val="single" w:sz="4" w:space="0" w:color="auto"/>
              <w:bottom w:val="single" w:sz="4" w:space="0" w:color="auto"/>
              <w:right w:val="single" w:sz="4" w:space="0" w:color="auto"/>
            </w:tcBorders>
          </w:tcPr>
          <w:p w14:paraId="5071F22C" w14:textId="2A8430AE" w:rsidR="00000251" w:rsidRPr="00DF5FC2" w:rsidRDefault="00DF5FC2" w:rsidP="00DF5FC2">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DF5FC2">
              <w:rPr>
                <w:rFonts w:ascii="AKL Sans" w:hAnsi="AKL Sans" w:cs="Arial"/>
              </w:rPr>
              <w:t>Carrying out role requirements</w:t>
            </w:r>
          </w:p>
        </w:tc>
      </w:tr>
      <w:tr w:rsidR="00000251" w:rsidRPr="00000251" w14:paraId="0DCA9DFD" w14:textId="77777777" w:rsidTr="151806E9">
        <w:trPr>
          <w:trHeight w:val="552"/>
        </w:trPr>
        <w:tc>
          <w:tcPr>
            <w:tcW w:w="462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72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1C3BD1CB" w14:textId="77777777" w:rsidTr="151806E9">
        <w:trPr>
          <w:trHeight w:val="708"/>
        </w:trPr>
        <w:tc>
          <w:tcPr>
            <w:tcW w:w="4626" w:type="dxa"/>
            <w:gridSpan w:val="5"/>
            <w:tcBorders>
              <w:top w:val="single" w:sz="4" w:space="0" w:color="auto"/>
              <w:left w:val="single" w:sz="4" w:space="0" w:color="auto"/>
              <w:bottom w:val="single" w:sz="4" w:space="0" w:color="auto"/>
              <w:right w:val="single" w:sz="4" w:space="0" w:color="auto"/>
            </w:tcBorders>
          </w:tcPr>
          <w:p w14:paraId="411ED800" w14:textId="77777777" w:rsidR="0060712D" w:rsidRPr="0060712D" w:rsidRDefault="0060712D" w:rsidP="0060712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60712D">
              <w:rPr>
                <w:rFonts w:ascii="AKL Sans" w:hAnsi="AKL Sans" w:cs="Arial"/>
              </w:rPr>
              <w:t>Construction contractors and third-party suppliers.</w:t>
            </w:r>
          </w:p>
          <w:p w14:paraId="201C92BA" w14:textId="473BE7FB" w:rsidR="00000251" w:rsidRPr="00BB4D95" w:rsidRDefault="0060712D" w:rsidP="00BB4D95">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60712D">
              <w:rPr>
                <w:rFonts w:ascii="AKL Sans" w:hAnsi="AKL Sans" w:cs="Arial"/>
              </w:rPr>
              <w:t xml:space="preserve">Consultants and suppliers. </w:t>
            </w:r>
          </w:p>
        </w:tc>
        <w:tc>
          <w:tcPr>
            <w:tcW w:w="4720" w:type="dxa"/>
            <w:tcBorders>
              <w:top w:val="single" w:sz="4" w:space="0" w:color="auto"/>
              <w:left w:val="single" w:sz="4" w:space="0" w:color="auto"/>
              <w:bottom w:val="single" w:sz="4" w:space="0" w:color="auto"/>
              <w:right w:val="single" w:sz="4" w:space="0" w:color="auto"/>
            </w:tcBorders>
          </w:tcPr>
          <w:p w14:paraId="49CEC3D6" w14:textId="2F0AF97C" w:rsidR="00000251" w:rsidRPr="0060712D" w:rsidRDefault="0060712D" w:rsidP="0060712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DF5FC2">
              <w:rPr>
                <w:rFonts w:ascii="AKL Sans" w:hAnsi="AKL Sans" w:cs="Arial"/>
              </w:rPr>
              <w:t>Carrying out role requirements</w:t>
            </w:r>
          </w:p>
        </w:tc>
      </w:tr>
      <w:tr w:rsidR="00000251" w:rsidRPr="00000251" w14:paraId="27694CAB" w14:textId="77777777" w:rsidTr="151806E9">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151806E9">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151806E9">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62F192F4"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151806E9">
        <w:trPr>
          <w:trHeight w:val="841"/>
        </w:trPr>
        <w:tc>
          <w:tcPr>
            <w:tcW w:w="4626" w:type="dxa"/>
            <w:gridSpan w:val="5"/>
            <w:tcBorders>
              <w:top w:val="single" w:sz="4" w:space="0" w:color="auto"/>
              <w:left w:val="single" w:sz="4" w:space="0" w:color="auto"/>
              <w:bottom w:val="single" w:sz="4" w:space="0" w:color="auto"/>
              <w:right w:val="single" w:sz="4" w:space="0" w:color="auto"/>
            </w:tcBorders>
          </w:tcPr>
          <w:p w14:paraId="08350464" w14:textId="77777777" w:rsidR="000A08E5" w:rsidRPr="000A08E5" w:rsidRDefault="000A08E5" w:rsidP="000A08E5">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0A08E5">
              <w:rPr>
                <w:rFonts w:ascii="AKL Sans" w:hAnsi="AKL Sans" w:cs="Arial"/>
              </w:rPr>
              <w:t>Tertiary qualification (Degree) in BCom, BSc or CA</w:t>
            </w:r>
          </w:p>
          <w:p w14:paraId="14B1ED4B" w14:textId="0DF029E0" w:rsidR="00000251" w:rsidRPr="000A08E5" w:rsidRDefault="000A08E5" w:rsidP="000A08E5">
            <w:pPr>
              <w:pStyle w:val="ListParagraph"/>
              <w:numPr>
                <w:ilvl w:val="0"/>
                <w:numId w:val="8"/>
              </w:numPr>
              <w:tabs>
                <w:tab w:val="left" w:pos="2007"/>
              </w:tabs>
              <w:kinsoku w:val="0"/>
              <w:overflowPunct w:val="0"/>
              <w:autoSpaceDE w:val="0"/>
              <w:autoSpaceDN w:val="0"/>
              <w:adjustRightInd w:val="0"/>
              <w:ind w:right="108"/>
              <w:rPr>
                <w:rFonts w:eastAsia="Times New Roman"/>
                <w:lang w:val="en-NZ"/>
              </w:rPr>
            </w:pPr>
            <w:r w:rsidRPr="000A08E5">
              <w:rPr>
                <w:rFonts w:ascii="AKL Sans" w:hAnsi="AKL Sans" w:cs="Arial"/>
              </w:rPr>
              <w:t>Demonstrated experience in risk management.</w:t>
            </w:r>
          </w:p>
        </w:tc>
        <w:tc>
          <w:tcPr>
            <w:tcW w:w="4720" w:type="dxa"/>
            <w:tcBorders>
              <w:top w:val="single" w:sz="4" w:space="0" w:color="auto"/>
              <w:left w:val="single" w:sz="4" w:space="0" w:color="auto"/>
              <w:bottom w:val="single" w:sz="4" w:space="0" w:color="auto"/>
              <w:right w:val="single" w:sz="4" w:space="0" w:color="auto"/>
            </w:tcBorders>
          </w:tcPr>
          <w:p w14:paraId="3B9109CB" w14:textId="77777777" w:rsidR="0017681C" w:rsidRPr="0017681C" w:rsidRDefault="0017681C" w:rsidP="0017681C">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17681C">
              <w:rPr>
                <w:rFonts w:ascii="AKL Sans" w:hAnsi="AKL Sans" w:cs="Arial"/>
              </w:rPr>
              <w:t>Knowledge and experience with best practice ISO 31000 and COSO.</w:t>
            </w:r>
          </w:p>
          <w:p w14:paraId="08E91FD4" w14:textId="46318D48" w:rsidR="00000251" w:rsidRPr="00000251" w:rsidRDefault="0017681C" w:rsidP="0017681C">
            <w:pPr>
              <w:pStyle w:val="ListParagraph"/>
              <w:numPr>
                <w:ilvl w:val="0"/>
                <w:numId w:val="8"/>
              </w:numPr>
              <w:tabs>
                <w:tab w:val="left" w:pos="2007"/>
              </w:tabs>
              <w:kinsoku w:val="0"/>
              <w:overflowPunct w:val="0"/>
              <w:autoSpaceDE w:val="0"/>
              <w:autoSpaceDN w:val="0"/>
              <w:adjustRightInd w:val="0"/>
              <w:ind w:right="108"/>
              <w:rPr>
                <w:rFonts w:ascii="AKL Sans" w:hAnsi="AKL Sans" w:cs="Arial"/>
                <w:lang w:val="en-NZ"/>
              </w:rPr>
            </w:pPr>
            <w:r w:rsidRPr="0017681C">
              <w:rPr>
                <w:rFonts w:ascii="AKL Sans" w:hAnsi="AKL Sans" w:cs="Arial"/>
              </w:rPr>
              <w:t>Formal risk management industry membership or certification.</w:t>
            </w:r>
          </w:p>
        </w:tc>
      </w:tr>
      <w:tr w:rsidR="00000251" w:rsidRPr="00000251" w14:paraId="0EBE6008" w14:textId="77777777" w:rsidTr="151806E9">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t>Knowledge / Experience</w:t>
            </w:r>
          </w:p>
        </w:tc>
      </w:tr>
      <w:tr w:rsidR="00000251" w:rsidRPr="00000251" w14:paraId="3081B8E1" w14:textId="77777777" w:rsidTr="151806E9">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3876DB96"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42D2EAAD"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Desirable</w:t>
            </w:r>
          </w:p>
        </w:tc>
      </w:tr>
      <w:tr w:rsidR="00000251" w:rsidRPr="00000251" w14:paraId="2838AA7C" w14:textId="77777777" w:rsidTr="151806E9">
        <w:trPr>
          <w:trHeight w:val="2693"/>
        </w:trPr>
        <w:tc>
          <w:tcPr>
            <w:tcW w:w="4626" w:type="dxa"/>
            <w:gridSpan w:val="5"/>
            <w:tcBorders>
              <w:top w:val="single" w:sz="4" w:space="0" w:color="auto"/>
              <w:left w:val="single" w:sz="4" w:space="0" w:color="auto"/>
              <w:bottom w:val="single" w:sz="4" w:space="0" w:color="auto"/>
              <w:right w:val="single" w:sz="4" w:space="0" w:color="auto"/>
            </w:tcBorders>
          </w:tcPr>
          <w:p w14:paraId="0EA5E1D1"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lastRenderedPageBreak/>
              <w:t xml:space="preserve">Risk management and project risk management experience at least 7 years. </w:t>
            </w:r>
          </w:p>
          <w:p w14:paraId="0CD4CEB1"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t>Experience in identifying, assessing, and managing risks and opportunities across organisation.</w:t>
            </w:r>
          </w:p>
          <w:p w14:paraId="5B0A25E1"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t>Experience in elevating critical risks and can manage management agreed actions to mitigate risks and track issue management.</w:t>
            </w:r>
          </w:p>
          <w:p w14:paraId="2F5C10D1"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t>Governance reporting experience (governance committee minute-taker)</w:t>
            </w:r>
          </w:p>
          <w:p w14:paraId="79FDE0DD"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t>Well-developed skills as a team contributor, with demonstrated ability to collaborate effectively with a diverse group of stakeholders.</w:t>
            </w:r>
          </w:p>
          <w:p w14:paraId="1BA86E4E" w14:textId="77777777" w:rsidR="00FE44DD" w:rsidRPr="00FE44DD"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E44DD">
              <w:rPr>
                <w:rFonts w:ascii="AKL Sans" w:hAnsi="AKL Sans" w:cs="Arial"/>
              </w:rPr>
              <w:t>Sound business writing and verbal communication skills, including well- developed presentation skills.</w:t>
            </w:r>
          </w:p>
          <w:p w14:paraId="737CE13F" w14:textId="279C6F18" w:rsidR="00000251" w:rsidRPr="00000251" w:rsidRDefault="00FE44DD" w:rsidP="00FE44DD">
            <w:pPr>
              <w:pStyle w:val="ListParagraph"/>
              <w:numPr>
                <w:ilvl w:val="0"/>
                <w:numId w:val="8"/>
              </w:numPr>
              <w:tabs>
                <w:tab w:val="left" w:pos="2007"/>
              </w:tabs>
              <w:kinsoku w:val="0"/>
              <w:overflowPunct w:val="0"/>
              <w:autoSpaceDE w:val="0"/>
              <w:autoSpaceDN w:val="0"/>
              <w:adjustRightInd w:val="0"/>
              <w:ind w:right="108"/>
              <w:rPr>
                <w:rFonts w:ascii="AKL Sans" w:hAnsi="AKL Sans" w:cs="Arial"/>
                <w:color w:val="A6A6A6" w:themeColor="background1" w:themeShade="A6"/>
                <w:szCs w:val="22"/>
              </w:rPr>
            </w:pPr>
            <w:r w:rsidRPr="00FE44DD">
              <w:rPr>
                <w:rFonts w:ascii="AKL Sans" w:hAnsi="AKL Sans" w:cs="Arial"/>
              </w:rPr>
              <w:t>An inquiring mind and desire to push for continuous improvement</w:t>
            </w:r>
          </w:p>
        </w:tc>
        <w:tc>
          <w:tcPr>
            <w:tcW w:w="4720" w:type="dxa"/>
            <w:tcBorders>
              <w:top w:val="single" w:sz="4" w:space="0" w:color="auto"/>
              <w:left w:val="single" w:sz="4" w:space="0" w:color="auto"/>
              <w:bottom w:val="single" w:sz="4" w:space="0" w:color="auto"/>
              <w:right w:val="single" w:sz="4" w:space="0" w:color="auto"/>
            </w:tcBorders>
          </w:tcPr>
          <w:p w14:paraId="51D3E526" w14:textId="77777777" w:rsidR="00F20519" w:rsidRPr="00F20519" w:rsidRDefault="00F20519" w:rsidP="00F20519">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20519">
              <w:rPr>
                <w:rFonts w:ascii="AKL Sans" w:hAnsi="AKL Sans" w:cs="Arial"/>
              </w:rPr>
              <w:t>Aviation, construction, or infrastructure environment experience.</w:t>
            </w:r>
          </w:p>
          <w:p w14:paraId="490AD598" w14:textId="77777777" w:rsidR="00F20519" w:rsidRPr="00F20519" w:rsidRDefault="00F20519" w:rsidP="00F20519">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20519">
              <w:rPr>
                <w:rFonts w:ascii="AKL Sans" w:hAnsi="AKL Sans" w:cs="Arial"/>
              </w:rPr>
              <w:t>Experience using a risk management system or software.</w:t>
            </w:r>
          </w:p>
          <w:p w14:paraId="3FB10C8C" w14:textId="77777777" w:rsidR="00F20519" w:rsidRPr="00F20519" w:rsidRDefault="00F20519" w:rsidP="00F20519">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20519">
              <w:rPr>
                <w:rFonts w:ascii="AKL Sans" w:hAnsi="AKL Sans" w:cs="Arial"/>
              </w:rPr>
              <w:t>Experience using Microsoft Office software suite of applications.</w:t>
            </w:r>
          </w:p>
          <w:p w14:paraId="063B3905" w14:textId="77777777" w:rsidR="00F20519" w:rsidRPr="00F20519" w:rsidRDefault="00F20519" w:rsidP="00F20519">
            <w:pPr>
              <w:pStyle w:val="ListParagraph"/>
              <w:numPr>
                <w:ilvl w:val="0"/>
                <w:numId w:val="8"/>
              </w:numPr>
              <w:tabs>
                <w:tab w:val="left" w:pos="2007"/>
              </w:tabs>
              <w:kinsoku w:val="0"/>
              <w:overflowPunct w:val="0"/>
              <w:autoSpaceDE w:val="0"/>
              <w:autoSpaceDN w:val="0"/>
              <w:adjustRightInd w:val="0"/>
              <w:ind w:right="108"/>
              <w:rPr>
                <w:rFonts w:ascii="AKL Sans" w:hAnsi="AKL Sans" w:cs="Arial"/>
              </w:rPr>
            </w:pPr>
            <w:r w:rsidRPr="00F20519">
              <w:rPr>
                <w:rFonts w:ascii="AKL Sans" w:hAnsi="AKL Sans" w:cs="Arial"/>
              </w:rPr>
              <w:t>User of business analytic tools such as Power BI.</w:t>
            </w:r>
          </w:p>
          <w:p w14:paraId="18DA1BCF" w14:textId="6ADF6B16" w:rsidR="00000251" w:rsidRPr="00000251" w:rsidRDefault="00000251" w:rsidP="00FE44DD">
            <w:pPr>
              <w:pStyle w:val="Milkbulletpoint"/>
              <w:numPr>
                <w:ilvl w:val="0"/>
                <w:numId w:val="0"/>
              </w:numPr>
              <w:spacing w:before="120" w:after="120"/>
              <w:ind w:left="227"/>
              <w:rPr>
                <w:rFonts w:ascii="AKL Sans" w:eastAsia="SimSun" w:hAnsi="AKL Sans" w:cs="Arial"/>
                <w:color w:val="A6A6A6" w:themeColor="background1" w:themeShade="A6"/>
                <w:kern w:val="28"/>
                <w:sz w:val="22"/>
                <w:szCs w:val="22"/>
                <w:lang w:eastAsia="zh-CN"/>
              </w:rPr>
            </w:pPr>
          </w:p>
          <w:p w14:paraId="026999A9" w14:textId="77777777" w:rsidR="00000251" w:rsidRPr="00000251" w:rsidRDefault="00000251" w:rsidP="0063249B">
            <w:pPr>
              <w:pStyle w:val="Milkbulletpoint"/>
              <w:numPr>
                <w:ilvl w:val="0"/>
                <w:numId w:val="0"/>
              </w:numPr>
              <w:spacing w:before="120" w:after="120"/>
              <w:rPr>
                <w:rFonts w:ascii="AKL Sans" w:hAnsi="AKL Sans"/>
                <w:sz w:val="22"/>
                <w:szCs w:val="22"/>
              </w:rPr>
            </w:pPr>
          </w:p>
        </w:tc>
      </w:tr>
      <w:tr w:rsidR="00000251" w:rsidRPr="00000251" w14:paraId="515440D8" w14:textId="77777777" w:rsidTr="151806E9">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151806E9">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r w:rsidRPr="00000251">
              <w:rPr>
                <w:rStyle w:val="normaltextrun"/>
                <w:rFonts w:ascii="AKL Sans" w:hAnsi="AKL Sans" w:cs="Arial"/>
                <w:b/>
                <w:bCs/>
                <w:i/>
                <w:iCs/>
                <w:color w:val="000000"/>
                <w:szCs w:val="22"/>
                <w:shd w:val="clear" w:color="auto" w:fill="FFFFFF"/>
              </w:rPr>
              <w:t xml:space="preserve">Whiria te tangata.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151806E9">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proofErr w:type="spellStart"/>
            <w:r w:rsidRPr="00AA681C">
              <w:rPr>
                <w:rStyle w:val="normaltextrun"/>
                <w:rFonts w:ascii="AKL Sans" w:hAnsi="AKL Sans" w:cs="Arial"/>
              </w:rPr>
              <w:t>Tātou</w:t>
            </w:r>
            <w:proofErr w:type="spellEnd"/>
            <w:r w:rsidRPr="00AA681C">
              <w:rPr>
                <w:rStyle w:val="normaltextrun"/>
                <w:rFonts w:ascii="AKL Sans" w:hAnsi="AKL Sans" w:cs="Arial"/>
              </w:rPr>
              <w:t xml:space="preserve"> </w:t>
            </w:r>
            <w:proofErr w:type="spellStart"/>
            <w:r w:rsidRPr="00AA681C">
              <w:rPr>
                <w:rStyle w:val="normaltextrun"/>
                <w:rFonts w:ascii="AKL Sans" w:hAnsi="AKL Sans" w:cs="Arial"/>
              </w:rPr>
              <w:t>tātou</w:t>
            </w:r>
            <w:proofErr w:type="spellEnd"/>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0"/>
              </w:numPr>
              <w:rPr>
                <w:rFonts w:ascii="AKL Sans" w:hAnsi="AKL Sans"/>
              </w:rPr>
            </w:pPr>
            <w:r w:rsidRPr="000B6FF8">
              <w:rPr>
                <w:rFonts w:ascii="AKL Sans" w:hAnsi="AKL Sans"/>
              </w:rPr>
              <w:t>People first</w:t>
            </w:r>
          </w:p>
          <w:p w14:paraId="4B588ACA" w14:textId="77777777" w:rsidR="002E37B1" w:rsidRPr="000B6FF8" w:rsidRDefault="002E37B1" w:rsidP="002E37B1">
            <w:pPr>
              <w:numPr>
                <w:ilvl w:val="0"/>
                <w:numId w:val="10"/>
              </w:numPr>
              <w:rPr>
                <w:rFonts w:ascii="AKL Sans" w:hAnsi="AKL Sans"/>
              </w:rPr>
            </w:pPr>
            <w:r w:rsidRPr="000B6FF8">
              <w:rPr>
                <w:rFonts w:ascii="AKL Sans" w:hAnsi="AKL Sans"/>
              </w:rPr>
              <w:t>Seek understanding</w:t>
            </w:r>
          </w:p>
          <w:p w14:paraId="1ED14352" w14:textId="77777777" w:rsidR="002E37B1" w:rsidRPr="000B6FF8" w:rsidRDefault="002E37B1" w:rsidP="002E37B1">
            <w:pPr>
              <w:numPr>
                <w:ilvl w:val="0"/>
                <w:numId w:val="10"/>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0"/>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0"/>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151806E9">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proofErr w:type="spellStart"/>
            <w:r w:rsidRPr="00C35909">
              <w:rPr>
                <w:rStyle w:val="normaltextrun"/>
                <w:rFonts w:ascii="AKL Sans" w:hAnsi="AKL Sans" w:cs="Arial"/>
              </w:rPr>
              <w:t>Kōkiri</w:t>
            </w:r>
            <w:proofErr w:type="spellEnd"/>
            <w:r w:rsidRPr="00C35909">
              <w:rPr>
                <w:rStyle w:val="normaltextrun"/>
                <w:rFonts w:ascii="AKL Sans" w:hAnsi="AKL Sans" w:cs="Arial"/>
              </w:rPr>
              <w:t xml:space="preserve"> Tahi</w:t>
            </w:r>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0"/>
              </w:numPr>
              <w:rPr>
                <w:rFonts w:ascii="AKL Sans" w:hAnsi="AKL Sans"/>
              </w:rPr>
            </w:pPr>
            <w:r w:rsidRPr="000B6FF8">
              <w:rPr>
                <w:rFonts w:ascii="AKL Sans" w:hAnsi="AKL Sans"/>
              </w:rPr>
              <w:t>Explore and solve together</w:t>
            </w:r>
          </w:p>
          <w:p w14:paraId="0665C800" w14:textId="77777777" w:rsidR="00FE3448" w:rsidRPr="000B6FF8" w:rsidRDefault="00FE3448" w:rsidP="00FE3448">
            <w:pPr>
              <w:numPr>
                <w:ilvl w:val="0"/>
                <w:numId w:val="10"/>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0"/>
              </w:numPr>
              <w:rPr>
                <w:rFonts w:ascii="AKL Sans" w:hAnsi="AKL Sans"/>
              </w:rPr>
            </w:pPr>
            <w:r w:rsidRPr="000B6FF8">
              <w:rPr>
                <w:rFonts w:ascii="AKL Sans" w:hAnsi="AKL Sans"/>
              </w:rPr>
              <w:t xml:space="preserve">Bring your voice &amp; share your skills </w:t>
            </w:r>
          </w:p>
          <w:p w14:paraId="33D1C9A4" w14:textId="77777777" w:rsidR="00FE3448" w:rsidRPr="000B6FF8" w:rsidRDefault="00FE3448" w:rsidP="00FE3448">
            <w:pPr>
              <w:numPr>
                <w:ilvl w:val="0"/>
                <w:numId w:val="10"/>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0"/>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000251" w:rsidRPr="00000251" w14:paraId="54A2622A" w14:textId="77777777" w:rsidTr="151806E9">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proofErr w:type="spellStart"/>
            <w:r w:rsidRPr="00C35909">
              <w:rPr>
                <w:rStyle w:val="normaltextrun"/>
                <w:rFonts w:ascii="AKL Sans" w:hAnsi="AKL Sans" w:cs="Arial"/>
              </w:rPr>
              <w:t>Karawhiua</w:t>
            </w:r>
            <w:proofErr w:type="spellEnd"/>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0"/>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0"/>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0"/>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0"/>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0"/>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151806E9">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151806E9">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 xml:space="preserve">From time to </w:t>
            </w:r>
            <w:proofErr w:type="gramStart"/>
            <w:r w:rsidRPr="00000251">
              <w:rPr>
                <w:rFonts w:ascii="AKL Sans" w:hAnsi="AKL Sans" w:cs="Arial"/>
                <w:szCs w:val="22"/>
                <w:lang w:val="en-NZ"/>
              </w:rPr>
              <w:t>time</w:t>
            </w:r>
            <w:proofErr w:type="gramEnd"/>
            <w:r w:rsidRPr="00000251">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w:t>
            </w:r>
            <w:r w:rsidRPr="00000251">
              <w:rPr>
                <w:rFonts w:ascii="AKL Sans" w:hAnsi="AKL Sans" w:cs="Arial"/>
                <w:szCs w:val="22"/>
                <w:lang w:val="en-NZ"/>
              </w:rPr>
              <w:lastRenderedPageBreak/>
              <w:t>part of the preparation for performance planning for the annual performance cycle, or as required.</w:t>
            </w:r>
          </w:p>
        </w:tc>
      </w:tr>
      <w:tr w:rsidR="00000251" w:rsidRPr="00000251" w14:paraId="7FBF38F4" w14:textId="77777777" w:rsidTr="151806E9">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lastRenderedPageBreak/>
              <w:t>Sign-Off</w:t>
            </w:r>
          </w:p>
        </w:tc>
      </w:tr>
      <w:tr w:rsidR="00000251" w:rsidRPr="00000251" w14:paraId="4928027F" w14:textId="77777777" w:rsidTr="151806E9">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850"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151806E9">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850"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D98F4" w14:textId="77777777" w:rsidR="00833824" w:rsidRDefault="00833824" w:rsidP="002B26BB">
      <w:r>
        <w:separator/>
      </w:r>
    </w:p>
  </w:endnote>
  <w:endnote w:type="continuationSeparator" w:id="0">
    <w:p w14:paraId="03C827CF" w14:textId="77777777" w:rsidR="00833824" w:rsidRDefault="00833824" w:rsidP="002B26BB">
      <w:r>
        <w:continuationSeparator/>
      </w:r>
    </w:p>
  </w:endnote>
  <w:endnote w:type="continuationNotice" w:id="1">
    <w:p w14:paraId="4E35EAEA" w14:textId="77777777" w:rsidR="00833824" w:rsidRDefault="00833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7BAF" w14:textId="77777777" w:rsidR="00833824" w:rsidRDefault="00833824" w:rsidP="002B26BB">
      <w:r>
        <w:separator/>
      </w:r>
    </w:p>
  </w:footnote>
  <w:footnote w:type="continuationSeparator" w:id="0">
    <w:p w14:paraId="54214C20" w14:textId="77777777" w:rsidR="00833824" w:rsidRDefault="00833824" w:rsidP="002B26BB">
      <w:r>
        <w:continuationSeparator/>
      </w:r>
    </w:p>
  </w:footnote>
  <w:footnote w:type="continuationNotice" w:id="1">
    <w:p w14:paraId="68D2C68B" w14:textId="77777777" w:rsidR="00833824" w:rsidRDefault="00833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7D12" w14:textId="6EED43E8" w:rsidR="00CB0E3D" w:rsidRDefault="008621A9" w:rsidP="002B26BB">
    <w:pPr>
      <w:pStyle w:val="Header"/>
    </w:pPr>
    <w:r>
      <w:rPr>
        <w:noProof/>
      </w:rPr>
      <w:drawing>
        <wp:anchor distT="0" distB="0" distL="114300" distR="114300" simplePos="0" relativeHeight="251658241"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DC7"/>
    <w:multiLevelType w:val="hybridMultilevel"/>
    <w:tmpl w:val="151C5B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3"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1017C82"/>
    <w:multiLevelType w:val="hybridMultilevel"/>
    <w:tmpl w:val="CE922F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8F0BA4"/>
    <w:multiLevelType w:val="hybridMultilevel"/>
    <w:tmpl w:val="7454306A"/>
    <w:lvl w:ilvl="0" w:tplc="C890CE30">
      <w:start w:val="1"/>
      <w:numFmt w:val="bullet"/>
      <w:lvlText w:val=""/>
      <w:lvlJc w:val="left"/>
      <w:pPr>
        <w:ind w:left="720" w:hanging="360"/>
      </w:pPr>
      <w:rPr>
        <w:rFonts w:ascii="Symbol" w:hAnsi="Symbol"/>
      </w:rPr>
    </w:lvl>
    <w:lvl w:ilvl="1" w:tplc="BE14BE1C">
      <w:start w:val="1"/>
      <w:numFmt w:val="bullet"/>
      <w:lvlText w:val=""/>
      <w:lvlJc w:val="left"/>
      <w:pPr>
        <w:ind w:left="720" w:hanging="360"/>
      </w:pPr>
      <w:rPr>
        <w:rFonts w:ascii="Symbol" w:hAnsi="Symbol"/>
      </w:rPr>
    </w:lvl>
    <w:lvl w:ilvl="2" w:tplc="A77CB312">
      <w:start w:val="1"/>
      <w:numFmt w:val="bullet"/>
      <w:lvlText w:val=""/>
      <w:lvlJc w:val="left"/>
      <w:pPr>
        <w:ind w:left="720" w:hanging="360"/>
      </w:pPr>
      <w:rPr>
        <w:rFonts w:ascii="Symbol" w:hAnsi="Symbol"/>
      </w:rPr>
    </w:lvl>
    <w:lvl w:ilvl="3" w:tplc="5B52BF24">
      <w:start w:val="1"/>
      <w:numFmt w:val="bullet"/>
      <w:lvlText w:val=""/>
      <w:lvlJc w:val="left"/>
      <w:pPr>
        <w:ind w:left="720" w:hanging="360"/>
      </w:pPr>
      <w:rPr>
        <w:rFonts w:ascii="Symbol" w:hAnsi="Symbol"/>
      </w:rPr>
    </w:lvl>
    <w:lvl w:ilvl="4" w:tplc="71F074B8">
      <w:start w:val="1"/>
      <w:numFmt w:val="bullet"/>
      <w:lvlText w:val=""/>
      <w:lvlJc w:val="left"/>
      <w:pPr>
        <w:ind w:left="720" w:hanging="360"/>
      </w:pPr>
      <w:rPr>
        <w:rFonts w:ascii="Symbol" w:hAnsi="Symbol"/>
      </w:rPr>
    </w:lvl>
    <w:lvl w:ilvl="5" w:tplc="5492D97C">
      <w:start w:val="1"/>
      <w:numFmt w:val="bullet"/>
      <w:lvlText w:val=""/>
      <w:lvlJc w:val="left"/>
      <w:pPr>
        <w:ind w:left="720" w:hanging="360"/>
      </w:pPr>
      <w:rPr>
        <w:rFonts w:ascii="Symbol" w:hAnsi="Symbol"/>
      </w:rPr>
    </w:lvl>
    <w:lvl w:ilvl="6" w:tplc="11F4228C">
      <w:start w:val="1"/>
      <w:numFmt w:val="bullet"/>
      <w:lvlText w:val=""/>
      <w:lvlJc w:val="left"/>
      <w:pPr>
        <w:ind w:left="720" w:hanging="360"/>
      </w:pPr>
      <w:rPr>
        <w:rFonts w:ascii="Symbol" w:hAnsi="Symbol"/>
      </w:rPr>
    </w:lvl>
    <w:lvl w:ilvl="7" w:tplc="B9E2C56C">
      <w:start w:val="1"/>
      <w:numFmt w:val="bullet"/>
      <w:lvlText w:val=""/>
      <w:lvlJc w:val="left"/>
      <w:pPr>
        <w:ind w:left="720" w:hanging="360"/>
      </w:pPr>
      <w:rPr>
        <w:rFonts w:ascii="Symbol" w:hAnsi="Symbol"/>
      </w:rPr>
    </w:lvl>
    <w:lvl w:ilvl="8" w:tplc="72465702">
      <w:start w:val="1"/>
      <w:numFmt w:val="bullet"/>
      <w:lvlText w:val=""/>
      <w:lvlJc w:val="left"/>
      <w:pPr>
        <w:ind w:left="720" w:hanging="360"/>
      </w:pPr>
      <w:rPr>
        <w:rFonts w:ascii="Symbol" w:hAnsi="Symbol"/>
      </w:rPr>
    </w:lvl>
  </w:abstractNum>
  <w:abstractNum w:abstractNumId="7"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0207F1B"/>
    <w:multiLevelType w:val="hybridMultilevel"/>
    <w:tmpl w:val="EAF43F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BAC6436"/>
    <w:multiLevelType w:val="hybridMultilevel"/>
    <w:tmpl w:val="91A88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AD6974"/>
    <w:multiLevelType w:val="hybridMultilevel"/>
    <w:tmpl w:val="8C9E183E"/>
    <w:lvl w:ilvl="0" w:tplc="14090005">
      <w:start w:val="1"/>
      <w:numFmt w:val="bullet"/>
      <w:lvlText w:val=""/>
      <w:lvlJc w:val="left"/>
      <w:pPr>
        <w:ind w:left="780" w:hanging="360"/>
      </w:pPr>
      <w:rPr>
        <w:rFonts w:ascii="Wingdings" w:hAnsi="Wingdings"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921721051">
    <w:abstractNumId w:val="9"/>
  </w:num>
  <w:num w:numId="2" w16cid:durableId="33311393">
    <w:abstractNumId w:val="5"/>
  </w:num>
  <w:num w:numId="3" w16cid:durableId="1188520628">
    <w:abstractNumId w:val="5"/>
    <w:lvlOverride w:ilvl="0">
      <w:startOverride w:val="1"/>
    </w:lvlOverride>
  </w:num>
  <w:num w:numId="4" w16cid:durableId="1821575281">
    <w:abstractNumId w:val="1"/>
  </w:num>
  <w:num w:numId="5" w16cid:durableId="2102332180">
    <w:abstractNumId w:val="7"/>
  </w:num>
  <w:num w:numId="6" w16cid:durableId="783773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19744">
    <w:abstractNumId w:val="2"/>
  </w:num>
  <w:num w:numId="8" w16cid:durableId="817065355">
    <w:abstractNumId w:val="4"/>
  </w:num>
  <w:num w:numId="9" w16cid:durableId="397554157">
    <w:abstractNumId w:val="11"/>
  </w:num>
  <w:num w:numId="10" w16cid:durableId="594942031">
    <w:abstractNumId w:val="3"/>
  </w:num>
  <w:num w:numId="11" w16cid:durableId="1398479105">
    <w:abstractNumId w:val="12"/>
  </w:num>
  <w:num w:numId="12" w16cid:durableId="1310011885">
    <w:abstractNumId w:val="0"/>
  </w:num>
  <w:num w:numId="13" w16cid:durableId="582572286">
    <w:abstractNumId w:val="5"/>
  </w:num>
  <w:num w:numId="14" w16cid:durableId="762334105">
    <w:abstractNumId w:val="10"/>
  </w:num>
  <w:num w:numId="15" w16cid:durableId="1372069693">
    <w:abstractNumId w:val="5"/>
  </w:num>
  <w:num w:numId="16" w16cid:durableId="913012681">
    <w:abstractNumId w:val="5"/>
  </w:num>
  <w:num w:numId="17" w16cid:durableId="447626819">
    <w:abstractNumId w:val="8"/>
  </w:num>
  <w:num w:numId="18" w16cid:durableId="1346637900">
    <w:abstractNumId w:val="5"/>
  </w:num>
  <w:num w:numId="19" w16cid:durableId="1704986478">
    <w:abstractNumId w:val="5"/>
  </w:num>
  <w:num w:numId="20" w16cid:durableId="1006177855">
    <w:abstractNumId w:val="5"/>
  </w:num>
  <w:num w:numId="21" w16cid:durableId="622813843">
    <w:abstractNumId w:val="5"/>
  </w:num>
  <w:num w:numId="22" w16cid:durableId="1583947511">
    <w:abstractNumId w:val="5"/>
  </w:num>
  <w:num w:numId="23" w16cid:durableId="437484261">
    <w:abstractNumId w:val="5"/>
  </w:num>
  <w:num w:numId="24" w16cid:durableId="72164912">
    <w:abstractNumId w:val="5"/>
  </w:num>
  <w:num w:numId="25" w16cid:durableId="1183546108">
    <w:abstractNumId w:val="5"/>
  </w:num>
  <w:num w:numId="26" w16cid:durableId="2092314109">
    <w:abstractNumId w:val="5"/>
  </w:num>
  <w:num w:numId="27" w16cid:durableId="1244026126">
    <w:abstractNumId w:val="5"/>
  </w:num>
  <w:num w:numId="28" w16cid:durableId="897086379">
    <w:abstractNumId w:val="6"/>
  </w:num>
  <w:num w:numId="29" w16cid:durableId="1334912906">
    <w:abstractNumId w:val="5"/>
  </w:num>
  <w:num w:numId="30" w16cid:durableId="38221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17ADF"/>
    <w:rsid w:val="00033ACD"/>
    <w:rsid w:val="000464E7"/>
    <w:rsid w:val="00056D58"/>
    <w:rsid w:val="000964CF"/>
    <w:rsid w:val="000A08E5"/>
    <w:rsid w:val="000B6FF8"/>
    <w:rsid w:val="000E0B7C"/>
    <w:rsid w:val="000F1C62"/>
    <w:rsid w:val="000F6729"/>
    <w:rsid w:val="001268B4"/>
    <w:rsid w:val="0014302D"/>
    <w:rsid w:val="00166D70"/>
    <w:rsid w:val="0017681C"/>
    <w:rsid w:val="00197501"/>
    <w:rsid w:val="001C1597"/>
    <w:rsid w:val="001D3E2E"/>
    <w:rsid w:val="001D5435"/>
    <w:rsid w:val="001D557B"/>
    <w:rsid w:val="001D6F3E"/>
    <w:rsid w:val="001E5E29"/>
    <w:rsid w:val="00214FD0"/>
    <w:rsid w:val="00222738"/>
    <w:rsid w:val="00256AF8"/>
    <w:rsid w:val="002A6E33"/>
    <w:rsid w:val="002B26BB"/>
    <w:rsid w:val="002B4056"/>
    <w:rsid w:val="002B604E"/>
    <w:rsid w:val="002C6078"/>
    <w:rsid w:val="002D0D6F"/>
    <w:rsid w:val="002E3301"/>
    <w:rsid w:val="002E37B1"/>
    <w:rsid w:val="00335DCB"/>
    <w:rsid w:val="00337ECC"/>
    <w:rsid w:val="0034158C"/>
    <w:rsid w:val="00392F15"/>
    <w:rsid w:val="003B0FDF"/>
    <w:rsid w:val="003B73F8"/>
    <w:rsid w:val="004331E2"/>
    <w:rsid w:val="004446A0"/>
    <w:rsid w:val="004A4007"/>
    <w:rsid w:val="004B4463"/>
    <w:rsid w:val="004C38E0"/>
    <w:rsid w:val="004C41CE"/>
    <w:rsid w:val="004E07B9"/>
    <w:rsid w:val="005020B9"/>
    <w:rsid w:val="00521B77"/>
    <w:rsid w:val="00565E80"/>
    <w:rsid w:val="00566A3F"/>
    <w:rsid w:val="005909BA"/>
    <w:rsid w:val="005C658A"/>
    <w:rsid w:val="005D057D"/>
    <w:rsid w:val="006044A5"/>
    <w:rsid w:val="0060712D"/>
    <w:rsid w:val="00621390"/>
    <w:rsid w:val="0063249B"/>
    <w:rsid w:val="00641201"/>
    <w:rsid w:val="00642273"/>
    <w:rsid w:val="00684BC5"/>
    <w:rsid w:val="00690ED0"/>
    <w:rsid w:val="006A0D10"/>
    <w:rsid w:val="006C41C0"/>
    <w:rsid w:val="006C5E8A"/>
    <w:rsid w:val="006D4F67"/>
    <w:rsid w:val="006D6F0D"/>
    <w:rsid w:val="006E03DE"/>
    <w:rsid w:val="006F4BA3"/>
    <w:rsid w:val="006F638C"/>
    <w:rsid w:val="006F7B47"/>
    <w:rsid w:val="007019DD"/>
    <w:rsid w:val="007152E9"/>
    <w:rsid w:val="007179B7"/>
    <w:rsid w:val="00740063"/>
    <w:rsid w:val="0078339A"/>
    <w:rsid w:val="007842FE"/>
    <w:rsid w:val="007B123A"/>
    <w:rsid w:val="007B1D17"/>
    <w:rsid w:val="007B36C4"/>
    <w:rsid w:val="007C0D10"/>
    <w:rsid w:val="007E1B7B"/>
    <w:rsid w:val="007E2BBC"/>
    <w:rsid w:val="007F400D"/>
    <w:rsid w:val="00822FA7"/>
    <w:rsid w:val="00833824"/>
    <w:rsid w:val="00843A4A"/>
    <w:rsid w:val="00857FF9"/>
    <w:rsid w:val="008621A9"/>
    <w:rsid w:val="00862FE6"/>
    <w:rsid w:val="00864531"/>
    <w:rsid w:val="008B0690"/>
    <w:rsid w:val="008B1C98"/>
    <w:rsid w:val="008B1E1C"/>
    <w:rsid w:val="008B725A"/>
    <w:rsid w:val="008D0A64"/>
    <w:rsid w:val="008E54BF"/>
    <w:rsid w:val="00905ED8"/>
    <w:rsid w:val="0091336A"/>
    <w:rsid w:val="00930915"/>
    <w:rsid w:val="00936C55"/>
    <w:rsid w:val="00947E28"/>
    <w:rsid w:val="00955D26"/>
    <w:rsid w:val="0096285A"/>
    <w:rsid w:val="00967F2B"/>
    <w:rsid w:val="00990261"/>
    <w:rsid w:val="009D70BC"/>
    <w:rsid w:val="009E46F0"/>
    <w:rsid w:val="00A52B5B"/>
    <w:rsid w:val="00A5531A"/>
    <w:rsid w:val="00A6142D"/>
    <w:rsid w:val="00AA681C"/>
    <w:rsid w:val="00AD7E01"/>
    <w:rsid w:val="00AE7746"/>
    <w:rsid w:val="00AF007A"/>
    <w:rsid w:val="00B109FD"/>
    <w:rsid w:val="00B71A97"/>
    <w:rsid w:val="00BB4D95"/>
    <w:rsid w:val="00BD270D"/>
    <w:rsid w:val="00BD2FB1"/>
    <w:rsid w:val="00BD5192"/>
    <w:rsid w:val="00BD59C6"/>
    <w:rsid w:val="00C35909"/>
    <w:rsid w:val="00C37AC2"/>
    <w:rsid w:val="00C56697"/>
    <w:rsid w:val="00CA0514"/>
    <w:rsid w:val="00CB0E3D"/>
    <w:rsid w:val="00D11719"/>
    <w:rsid w:val="00D14403"/>
    <w:rsid w:val="00D16B21"/>
    <w:rsid w:val="00D36364"/>
    <w:rsid w:val="00D61A7E"/>
    <w:rsid w:val="00D67782"/>
    <w:rsid w:val="00D711E3"/>
    <w:rsid w:val="00D8435B"/>
    <w:rsid w:val="00D86AF7"/>
    <w:rsid w:val="00DD2014"/>
    <w:rsid w:val="00DF5FC2"/>
    <w:rsid w:val="00E05CCF"/>
    <w:rsid w:val="00E140A1"/>
    <w:rsid w:val="00E31854"/>
    <w:rsid w:val="00E355B0"/>
    <w:rsid w:val="00E418BA"/>
    <w:rsid w:val="00E61948"/>
    <w:rsid w:val="00E91AB1"/>
    <w:rsid w:val="00E929B7"/>
    <w:rsid w:val="00E93452"/>
    <w:rsid w:val="00E940B3"/>
    <w:rsid w:val="00E96B46"/>
    <w:rsid w:val="00EC2E3F"/>
    <w:rsid w:val="00EC762F"/>
    <w:rsid w:val="00F20519"/>
    <w:rsid w:val="00F421DA"/>
    <w:rsid w:val="00F47AC7"/>
    <w:rsid w:val="00F63B6A"/>
    <w:rsid w:val="00F700AB"/>
    <w:rsid w:val="00F90802"/>
    <w:rsid w:val="00F93FA2"/>
    <w:rsid w:val="00FA189D"/>
    <w:rsid w:val="00FB42F3"/>
    <w:rsid w:val="00FE03C0"/>
    <w:rsid w:val="00FE3448"/>
    <w:rsid w:val="00FE44DD"/>
    <w:rsid w:val="0B35C4E2"/>
    <w:rsid w:val="0F4DF516"/>
    <w:rsid w:val="0F9DFC14"/>
    <w:rsid w:val="151806E9"/>
    <w:rsid w:val="1F8AB723"/>
    <w:rsid w:val="60642306"/>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67BD7E66-CA7C-4F37-A647-4335210B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2"/>
      </w:numPr>
    </w:pPr>
  </w:style>
  <w:style w:type="paragraph" w:customStyle="1" w:styleId="NumberedHeading">
    <w:name w:val="Numbered Heading"/>
    <w:basedOn w:val="ListParagraph"/>
    <w:qFormat/>
    <w:rsid w:val="001E5E29"/>
    <w:pPr>
      <w:numPr>
        <w:numId w:val="1"/>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uiPriority w:val="99"/>
    <w:rsid w:val="00000251"/>
    <w:pPr>
      <w:numPr>
        <w:numId w:val="7"/>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customStyle="1" w:styleId="TableParagraph">
    <w:name w:val="Table Paragraph"/>
    <w:basedOn w:val="Normal"/>
    <w:uiPriority w:val="1"/>
    <w:qFormat/>
    <w:rsid w:val="00FE44DD"/>
    <w:pPr>
      <w:widowControl w:val="0"/>
      <w:autoSpaceDE w:val="0"/>
      <w:autoSpaceDN w:val="0"/>
      <w:ind w:left="105"/>
    </w:pPr>
    <w:rPr>
      <w:rFonts w:ascii="Arial" w:eastAsia="Arial" w:hAnsi="Arial" w:cs="Arial"/>
      <w:kern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u\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01EACB-3350-4A83-9964-0FE18BF6C4D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D5842CB2-F141-4628-A641-D67ACDFEE93A}">
      <dgm:prSet phldrT="[Text]" custT="1"/>
      <dgm:spPr/>
      <dgm:t>
        <a:bodyPr/>
        <a:lstStyle/>
        <a:p>
          <a:r>
            <a:rPr lang="en-NZ" sz="1000"/>
            <a:t>Enterprise Risk Manager</a:t>
          </a:r>
        </a:p>
      </dgm:t>
    </dgm:pt>
    <dgm:pt modelId="{25775D6A-0CEA-4288-8BC5-F98C606C5C3D}" type="parTrans" cxnId="{AC4338F5-BE63-4567-BA4C-D5B0BFC6C88E}">
      <dgm:prSet/>
      <dgm:spPr/>
      <dgm:t>
        <a:bodyPr/>
        <a:lstStyle/>
        <a:p>
          <a:endParaRPr lang="en-NZ" sz="1000"/>
        </a:p>
      </dgm:t>
    </dgm:pt>
    <dgm:pt modelId="{BE5E07AF-24B1-4DEC-98A4-DE348E1514D0}" type="sibTrans" cxnId="{AC4338F5-BE63-4567-BA4C-D5B0BFC6C88E}">
      <dgm:prSet/>
      <dgm:spPr/>
      <dgm:t>
        <a:bodyPr/>
        <a:lstStyle/>
        <a:p>
          <a:endParaRPr lang="en-NZ" sz="1000"/>
        </a:p>
      </dgm:t>
    </dgm:pt>
    <dgm:pt modelId="{9FE84094-5B6F-401B-ABD3-93857C492860}">
      <dgm:prSet phldrT="[Text]" custT="1"/>
      <dgm:spPr/>
      <dgm:t>
        <a:bodyPr/>
        <a:lstStyle/>
        <a:p>
          <a:r>
            <a:rPr lang="en-NZ" sz="1000"/>
            <a:t>Enterprise Risk Business Partner</a:t>
          </a:r>
        </a:p>
      </dgm:t>
    </dgm:pt>
    <dgm:pt modelId="{2D2372EC-C5B5-4A0F-82ED-063C085E593E}" type="parTrans" cxnId="{745615BC-831C-4070-87D4-F34D93FD0C3F}">
      <dgm:prSet/>
      <dgm:spPr/>
      <dgm:t>
        <a:bodyPr/>
        <a:lstStyle/>
        <a:p>
          <a:endParaRPr lang="en-NZ" sz="1000"/>
        </a:p>
      </dgm:t>
    </dgm:pt>
    <dgm:pt modelId="{A926C4F3-41BD-46AD-B109-555A5D4F89DC}" type="sibTrans" cxnId="{745615BC-831C-4070-87D4-F34D93FD0C3F}">
      <dgm:prSet/>
      <dgm:spPr/>
      <dgm:t>
        <a:bodyPr/>
        <a:lstStyle/>
        <a:p>
          <a:endParaRPr lang="en-NZ" sz="1000"/>
        </a:p>
      </dgm:t>
    </dgm:pt>
    <dgm:pt modelId="{362A1C5D-6725-4F07-AC84-FD4C38179E8B}" type="pres">
      <dgm:prSet presAssocID="{0401EACB-3350-4A83-9964-0FE18BF6C4DD}" presName="hierChild1" presStyleCnt="0">
        <dgm:presLayoutVars>
          <dgm:orgChart val="1"/>
          <dgm:chPref val="1"/>
          <dgm:dir/>
          <dgm:animOne val="branch"/>
          <dgm:animLvl val="lvl"/>
          <dgm:resizeHandles/>
        </dgm:presLayoutVars>
      </dgm:prSet>
      <dgm:spPr/>
    </dgm:pt>
    <dgm:pt modelId="{7604D023-3BF9-41F2-9A4C-9E7BB829685B}" type="pres">
      <dgm:prSet presAssocID="{D5842CB2-F141-4628-A641-D67ACDFEE93A}" presName="hierRoot1" presStyleCnt="0">
        <dgm:presLayoutVars>
          <dgm:hierBranch val="init"/>
        </dgm:presLayoutVars>
      </dgm:prSet>
      <dgm:spPr/>
    </dgm:pt>
    <dgm:pt modelId="{4C8BB5C5-F7FD-4A3F-BA09-AE14284C73D6}" type="pres">
      <dgm:prSet presAssocID="{D5842CB2-F141-4628-A641-D67ACDFEE93A}" presName="rootComposite1" presStyleCnt="0"/>
      <dgm:spPr/>
    </dgm:pt>
    <dgm:pt modelId="{11047FAC-43B4-4BE1-A008-16EFAF4DFEB1}" type="pres">
      <dgm:prSet presAssocID="{D5842CB2-F141-4628-A641-D67ACDFEE93A}" presName="rootText1" presStyleLbl="node0" presStyleIdx="0" presStyleCnt="1">
        <dgm:presLayoutVars>
          <dgm:chPref val="3"/>
        </dgm:presLayoutVars>
      </dgm:prSet>
      <dgm:spPr/>
    </dgm:pt>
    <dgm:pt modelId="{C787F099-2FFD-44C3-9D01-7AB733D040FA}" type="pres">
      <dgm:prSet presAssocID="{D5842CB2-F141-4628-A641-D67ACDFEE93A}" presName="rootConnector1" presStyleLbl="node1" presStyleIdx="0" presStyleCnt="0"/>
      <dgm:spPr/>
    </dgm:pt>
    <dgm:pt modelId="{2697A2AA-E83C-4EA7-A522-7BEB334D30CD}" type="pres">
      <dgm:prSet presAssocID="{D5842CB2-F141-4628-A641-D67ACDFEE93A}" presName="hierChild2" presStyleCnt="0"/>
      <dgm:spPr/>
    </dgm:pt>
    <dgm:pt modelId="{B810D9C5-0FC8-42E5-9FCD-B45AE2F30A23}" type="pres">
      <dgm:prSet presAssocID="{2D2372EC-C5B5-4A0F-82ED-063C085E593E}" presName="Name37" presStyleLbl="parChTrans1D2" presStyleIdx="0" presStyleCnt="1"/>
      <dgm:spPr/>
    </dgm:pt>
    <dgm:pt modelId="{6DD4790C-B69B-420D-8376-376CB8639B84}" type="pres">
      <dgm:prSet presAssocID="{9FE84094-5B6F-401B-ABD3-93857C492860}" presName="hierRoot2" presStyleCnt="0">
        <dgm:presLayoutVars>
          <dgm:hierBranch val="init"/>
        </dgm:presLayoutVars>
      </dgm:prSet>
      <dgm:spPr/>
    </dgm:pt>
    <dgm:pt modelId="{C48CC470-BE1D-4165-A7EB-CD0B136D64C6}" type="pres">
      <dgm:prSet presAssocID="{9FE84094-5B6F-401B-ABD3-93857C492860}" presName="rootComposite" presStyleCnt="0"/>
      <dgm:spPr/>
    </dgm:pt>
    <dgm:pt modelId="{B5B5E472-D136-4E4A-A823-DD13AEC01CDC}" type="pres">
      <dgm:prSet presAssocID="{9FE84094-5B6F-401B-ABD3-93857C492860}" presName="rootText" presStyleLbl="node2" presStyleIdx="0" presStyleCnt="1">
        <dgm:presLayoutVars>
          <dgm:chPref val="3"/>
        </dgm:presLayoutVars>
      </dgm:prSet>
      <dgm:spPr/>
    </dgm:pt>
    <dgm:pt modelId="{4A140D94-8FF3-480E-B28C-680F6C1FBFAC}" type="pres">
      <dgm:prSet presAssocID="{9FE84094-5B6F-401B-ABD3-93857C492860}" presName="rootConnector" presStyleLbl="node2" presStyleIdx="0" presStyleCnt="1"/>
      <dgm:spPr/>
    </dgm:pt>
    <dgm:pt modelId="{C51D9538-C979-46E3-8E40-C66792B4FE98}" type="pres">
      <dgm:prSet presAssocID="{9FE84094-5B6F-401B-ABD3-93857C492860}" presName="hierChild4" presStyleCnt="0"/>
      <dgm:spPr/>
    </dgm:pt>
    <dgm:pt modelId="{6C03DAEE-593A-4451-A63F-FFF4D8958B00}" type="pres">
      <dgm:prSet presAssocID="{9FE84094-5B6F-401B-ABD3-93857C492860}" presName="hierChild5" presStyleCnt="0"/>
      <dgm:spPr/>
    </dgm:pt>
    <dgm:pt modelId="{83485887-5CA1-4EFB-8D90-BC0E86C5D5FF}" type="pres">
      <dgm:prSet presAssocID="{D5842CB2-F141-4628-A641-D67ACDFEE93A}" presName="hierChild3" presStyleCnt="0"/>
      <dgm:spPr/>
    </dgm:pt>
  </dgm:ptLst>
  <dgm:cxnLst>
    <dgm:cxn modelId="{59C56207-EBE1-46E1-B002-843F72170FC0}" type="presOf" srcId="{D5842CB2-F141-4628-A641-D67ACDFEE93A}" destId="{11047FAC-43B4-4BE1-A008-16EFAF4DFEB1}" srcOrd="0" destOrd="0" presId="urn:microsoft.com/office/officeart/2005/8/layout/orgChart1"/>
    <dgm:cxn modelId="{2DF8FC09-F366-4B1B-8BF5-03FA481B83C1}" type="presOf" srcId="{D5842CB2-F141-4628-A641-D67ACDFEE93A}" destId="{C787F099-2FFD-44C3-9D01-7AB733D040FA}" srcOrd="1" destOrd="0" presId="urn:microsoft.com/office/officeart/2005/8/layout/orgChart1"/>
    <dgm:cxn modelId="{2A062B4C-43C7-4728-9815-6944D8B29CAC}" type="presOf" srcId="{9FE84094-5B6F-401B-ABD3-93857C492860}" destId="{B5B5E472-D136-4E4A-A823-DD13AEC01CDC}" srcOrd="0" destOrd="0" presId="urn:microsoft.com/office/officeart/2005/8/layout/orgChart1"/>
    <dgm:cxn modelId="{E5E7926E-D4EF-4427-9A08-D932C46CDF74}" type="presOf" srcId="{9FE84094-5B6F-401B-ABD3-93857C492860}" destId="{4A140D94-8FF3-480E-B28C-680F6C1FBFAC}" srcOrd="1" destOrd="0" presId="urn:microsoft.com/office/officeart/2005/8/layout/orgChart1"/>
    <dgm:cxn modelId="{745615BC-831C-4070-87D4-F34D93FD0C3F}" srcId="{D5842CB2-F141-4628-A641-D67ACDFEE93A}" destId="{9FE84094-5B6F-401B-ABD3-93857C492860}" srcOrd="0" destOrd="0" parTransId="{2D2372EC-C5B5-4A0F-82ED-063C085E593E}" sibTransId="{A926C4F3-41BD-46AD-B109-555A5D4F89DC}"/>
    <dgm:cxn modelId="{DF65FABD-8D30-4BA7-AE87-BB1F5F40FC50}" type="presOf" srcId="{0401EACB-3350-4A83-9964-0FE18BF6C4DD}" destId="{362A1C5D-6725-4F07-AC84-FD4C38179E8B}" srcOrd="0" destOrd="0" presId="urn:microsoft.com/office/officeart/2005/8/layout/orgChart1"/>
    <dgm:cxn modelId="{2E3496CE-530D-4B92-B66F-45F8FBC6AD73}" type="presOf" srcId="{2D2372EC-C5B5-4A0F-82ED-063C085E593E}" destId="{B810D9C5-0FC8-42E5-9FCD-B45AE2F30A23}" srcOrd="0" destOrd="0" presId="urn:microsoft.com/office/officeart/2005/8/layout/orgChart1"/>
    <dgm:cxn modelId="{AC4338F5-BE63-4567-BA4C-D5B0BFC6C88E}" srcId="{0401EACB-3350-4A83-9964-0FE18BF6C4DD}" destId="{D5842CB2-F141-4628-A641-D67ACDFEE93A}" srcOrd="0" destOrd="0" parTransId="{25775D6A-0CEA-4288-8BC5-F98C606C5C3D}" sibTransId="{BE5E07AF-24B1-4DEC-98A4-DE348E1514D0}"/>
    <dgm:cxn modelId="{C46B378A-B336-4DE0-A8AB-BBA683B714D3}" type="presParOf" srcId="{362A1C5D-6725-4F07-AC84-FD4C38179E8B}" destId="{7604D023-3BF9-41F2-9A4C-9E7BB829685B}" srcOrd="0" destOrd="0" presId="urn:microsoft.com/office/officeart/2005/8/layout/orgChart1"/>
    <dgm:cxn modelId="{0B476634-FA36-4D47-B426-273F0243AC0A}" type="presParOf" srcId="{7604D023-3BF9-41F2-9A4C-9E7BB829685B}" destId="{4C8BB5C5-F7FD-4A3F-BA09-AE14284C73D6}" srcOrd="0" destOrd="0" presId="urn:microsoft.com/office/officeart/2005/8/layout/orgChart1"/>
    <dgm:cxn modelId="{A3C17EB0-0F8B-4AF4-A211-92DBD26360CA}" type="presParOf" srcId="{4C8BB5C5-F7FD-4A3F-BA09-AE14284C73D6}" destId="{11047FAC-43B4-4BE1-A008-16EFAF4DFEB1}" srcOrd="0" destOrd="0" presId="urn:microsoft.com/office/officeart/2005/8/layout/orgChart1"/>
    <dgm:cxn modelId="{E503B838-5C46-4BFA-92BA-4FE24A300F0D}" type="presParOf" srcId="{4C8BB5C5-F7FD-4A3F-BA09-AE14284C73D6}" destId="{C787F099-2FFD-44C3-9D01-7AB733D040FA}" srcOrd="1" destOrd="0" presId="urn:microsoft.com/office/officeart/2005/8/layout/orgChart1"/>
    <dgm:cxn modelId="{4AE4328C-4216-4CB7-B2CA-F4A2A461EC37}" type="presParOf" srcId="{7604D023-3BF9-41F2-9A4C-9E7BB829685B}" destId="{2697A2AA-E83C-4EA7-A522-7BEB334D30CD}" srcOrd="1" destOrd="0" presId="urn:microsoft.com/office/officeart/2005/8/layout/orgChart1"/>
    <dgm:cxn modelId="{5E1B2463-9296-4407-A072-CE6FB1CF2EC6}" type="presParOf" srcId="{2697A2AA-E83C-4EA7-A522-7BEB334D30CD}" destId="{B810D9C5-0FC8-42E5-9FCD-B45AE2F30A23}" srcOrd="0" destOrd="0" presId="urn:microsoft.com/office/officeart/2005/8/layout/orgChart1"/>
    <dgm:cxn modelId="{A789650E-E622-4950-9BE0-EF9CCABE16FE}" type="presParOf" srcId="{2697A2AA-E83C-4EA7-A522-7BEB334D30CD}" destId="{6DD4790C-B69B-420D-8376-376CB8639B84}" srcOrd="1" destOrd="0" presId="urn:microsoft.com/office/officeart/2005/8/layout/orgChart1"/>
    <dgm:cxn modelId="{5A03937C-B543-4C11-B775-19BEFB0CF383}" type="presParOf" srcId="{6DD4790C-B69B-420D-8376-376CB8639B84}" destId="{C48CC470-BE1D-4165-A7EB-CD0B136D64C6}" srcOrd="0" destOrd="0" presId="urn:microsoft.com/office/officeart/2005/8/layout/orgChart1"/>
    <dgm:cxn modelId="{A380F331-28B2-42D0-81EA-C471CA5F5DEA}" type="presParOf" srcId="{C48CC470-BE1D-4165-A7EB-CD0B136D64C6}" destId="{B5B5E472-D136-4E4A-A823-DD13AEC01CDC}" srcOrd="0" destOrd="0" presId="urn:microsoft.com/office/officeart/2005/8/layout/orgChart1"/>
    <dgm:cxn modelId="{84E3644F-EE56-44F0-9ADA-EC01F809753A}" type="presParOf" srcId="{C48CC470-BE1D-4165-A7EB-CD0B136D64C6}" destId="{4A140D94-8FF3-480E-B28C-680F6C1FBFAC}" srcOrd="1" destOrd="0" presId="urn:microsoft.com/office/officeart/2005/8/layout/orgChart1"/>
    <dgm:cxn modelId="{D28F4380-227E-4698-89F5-7209DBC3BB4F}" type="presParOf" srcId="{6DD4790C-B69B-420D-8376-376CB8639B84}" destId="{C51D9538-C979-46E3-8E40-C66792B4FE98}" srcOrd="1" destOrd="0" presId="urn:microsoft.com/office/officeart/2005/8/layout/orgChart1"/>
    <dgm:cxn modelId="{F6DFA11F-6465-46C3-966E-75AB17E7398D}" type="presParOf" srcId="{6DD4790C-B69B-420D-8376-376CB8639B84}" destId="{6C03DAEE-593A-4451-A63F-FFF4D8958B00}" srcOrd="2" destOrd="0" presId="urn:microsoft.com/office/officeart/2005/8/layout/orgChart1"/>
    <dgm:cxn modelId="{16E20EC3-9B51-42F1-B5E1-132CF7E5DD91}" type="presParOf" srcId="{7604D023-3BF9-41F2-9A4C-9E7BB829685B}" destId="{83485887-5CA1-4EFB-8D90-BC0E86C5D5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10D9C5-0FC8-42E5-9FCD-B45AE2F30A23}">
      <dsp:nvSpPr>
        <dsp:cNvPr id="0" name=""/>
        <dsp:cNvSpPr/>
      </dsp:nvSpPr>
      <dsp:spPr>
        <a:xfrm>
          <a:off x="1576069" y="614704"/>
          <a:ext cx="91440" cy="257760"/>
        </a:xfrm>
        <a:custGeom>
          <a:avLst/>
          <a:gdLst/>
          <a:ahLst/>
          <a:cxnLst/>
          <a:rect l="0" t="0" r="0" b="0"/>
          <a:pathLst>
            <a:path>
              <a:moveTo>
                <a:pt x="45720" y="0"/>
              </a:moveTo>
              <a:lnTo>
                <a:pt x="45720" y="257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047FAC-43B4-4BE1-A008-16EFAF4DFEB1}">
      <dsp:nvSpPr>
        <dsp:cNvPr id="0" name=""/>
        <dsp:cNvSpPr/>
      </dsp:nvSpPr>
      <dsp:spPr>
        <a:xfrm>
          <a:off x="1008075" y="990"/>
          <a:ext cx="1227428" cy="6137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Enterprise Risk Manager</a:t>
          </a:r>
        </a:p>
      </dsp:txBody>
      <dsp:txXfrm>
        <a:off x="1008075" y="990"/>
        <a:ext cx="1227428" cy="613714"/>
      </dsp:txXfrm>
    </dsp:sp>
    <dsp:sp modelId="{B5B5E472-D136-4E4A-A823-DD13AEC01CDC}">
      <dsp:nvSpPr>
        <dsp:cNvPr id="0" name=""/>
        <dsp:cNvSpPr/>
      </dsp:nvSpPr>
      <dsp:spPr>
        <a:xfrm>
          <a:off x="1008075" y="872465"/>
          <a:ext cx="1227428" cy="6137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Enterprise Risk Business Partner</a:t>
          </a:r>
        </a:p>
      </dsp:txBody>
      <dsp:txXfrm>
        <a:off x="1008075" y="872465"/>
        <a:ext cx="1227428" cy="6137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Props1.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3.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14</TotalTime>
  <Pages>6</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Shashi Kumar</cp:lastModifiedBy>
  <cp:revision>69</cp:revision>
  <cp:lastPrinted>2024-10-03T22:22:00Z</cp:lastPrinted>
  <dcterms:created xsi:type="dcterms:W3CDTF">2024-09-22T22:21:00Z</dcterms:created>
  <dcterms:modified xsi:type="dcterms:W3CDTF">2025-03-05T00:04:00Z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